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1903TCR - TCRE5 - TC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9009092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421254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4363220" w:name="ctxt"/>
    <w:bookmarkEnd w:id="54363220"/>
    <w:p>
      <w:pPr>
        <w:widowControl w:val="on"/>
        <w:pBdr/>
        <w:spacing w:before="75" w:after="75" w:line="240" w:lineRule="auto"/>
        <w:ind w:left="75" w:right="75"/>
        <w:jc w:val="left"/>
        <w:textDirection w:val="lrTb"/>
      </w:pPr>
    </w:p>
    <w:p>
      <w:pPr>
        <w:pStyle w:val="Titolo1"/>
        <w:outlineLvl w:val="0"/>
      </w:pPr>
      <w:r>
        <w:rPr/>
        <w:t xml:space="preserve">Informations techniques</w:t>
      </w:r>
    </w:p>
    <w:p>
      <w:pPr>
        <w:widowControl w:val="on"/>
        <w:pBdr/>
        <w:spacing w:before="0" w:after="0" w:line="240" w:lineRule="auto"/>
        <w:ind w:left="0" w:right="0"/>
        <w:jc w:val="left"/>
        <w:textDirection w:val="lrTb"/>
      </w:pPr>
    </w:p>
    <w:p>
      <w:pPr>
        <w:pStyle w:val="Titolo2"/>
        <w:outlineLvl w:val="1"/>
      </w:pPr>
      <w:r>
        <w:rPr/>
        <w:t xml:space="preserve">Description générale du moteur</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Diesel 4 temps avec cylindres en ligne; - Refroidissement par liquide;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soupapes par cylindre avec poussoirs hydrauliques;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Turbocompresseur avec soupape Waste-gate;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Injection directe common rail.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Données techniques du moteur</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
          <w:p/>
          <w:p/>
          <w:p/>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CARACTÉRISTIQUES TECHNIQUES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
          <w:p/>
          <w:p/>
          <w:p/>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1"/>
              </w:rPr>
              <w:drawing>
                <wp:inline distT="0" distB="0" distL="0" distR="0">
                  <wp:extent cx="1008000" cy="842400"/>
                  <wp:effectExtent b="0" l="0" r="0" t="0"/>
                  <wp:docPr id="87425257" name="name313661cdd3591469c"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780161cdd3591468e"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0"/>
              </w:rPr>
              <w:drawing>
                <wp:inline distT="0" distB="0" distL="0" distR="0">
                  <wp:extent cx="1015200" cy="820800"/>
                  <wp:effectExtent b="0" l="0" r="0" t="0"/>
                  <wp:docPr id="72363504" name="name657861cdd3593f787"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350561cdd3593f77e"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MODÈLE DU MOTEUR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ALÉSAGE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COURSE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INCLINAISON MAXIMALE PENDANT LE FONCTIONNEMENT (même en combiné)</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CAPACITÉ HUILE (niveau MAX.) avec filtre à huile monté</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 standard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avec dispositif équilibreur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POIDS À SEC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Encombrement des moteurs (mm)</w:t>
      </w:r>
    </w:p>
    <w:p>
      <w:pPr>
        <w:widowControl w:val="on"/>
        <w:pBdr/>
        <w:spacing w:before="225" w:after="225" w:line="262" w:lineRule="auto"/>
        <w:ind w:left="0" w:right="0"/>
        <w:jc w:val="left"/>
        <w:textDirection w:val="lrTb"/>
      </w:pPr>
      <w:r>
        <w:drawing>
          <wp:inline distT="0" distB="0" distL="0" distR="0">
            <wp:extent cx="4752000" cy="2865600"/>
            <wp:effectExtent b="0" l="0" r="0" t="0"/>
            <wp:docPr id="84386636" name="name100461cdd3595fc57"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116961cdd3595fc4d"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Huile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598075" name="name684961cdd35974cb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0461cdd35974cb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1896"/>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21896"/>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21896"/>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21896"/>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21896"/>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403413" name="name806761cdd3598495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8161cdd3598495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1896"/>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21896"/>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21896"/>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Classification de l'huile SAE</w:t>
      </w:r>
    </w:p>
    <w:p>
      <w:pPr>
        <w:numPr>
          <w:ilvl w:val="0"/>
          <w:numId w:val="21896"/>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21896"/>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HUILE PRESCRIT</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SPECIFICATIONS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1896"/>
        </w:numPr>
        <w:spacing w:before="0" w:after="0" w:line="240" w:lineRule="auto"/>
        <w:jc w:val="left"/>
        <w:rPr>
          <w:color w:val="00274C"/>
          <w:sz w:val="20"/>
          <w:szCs w:val="20"/>
        </w:rPr>
      </w:pPr>
      <w:r>
        <w:rPr>
          <w:color w:val="00274C"/>
          <w:sz w:val="20"/>
          <w:szCs w:val="20"/>
          <w:u w:val="none"/>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21896"/>
        </w:numPr>
        <w:spacing w:before="0" w:after="0" w:line="240" w:lineRule="auto"/>
        <w:jc w:val="left"/>
        <w:rPr>
          <w:color w:val="00274C"/>
          <w:sz w:val="20"/>
          <w:szCs w:val="20"/>
        </w:rPr>
      </w:pPr>
      <w:r>
        <w:rPr>
          <w:color w:val="00274C"/>
          <w:sz w:val="20"/>
          <w:szCs w:val="20"/>
          <w:u w:val="none"/>
        </w:rPr>
        <w:t xml:space="preserve">Pour la séquence d’huile Mid S.A.P.S, le niveau de cendres sulfatées est identique à l'API CJ-4 ≤ 1,0 %, mais conformément à la normalisation ACEA, ces huiles sont référencées sous Mid SAPS.</w:t>
      </w:r>
    </w:p>
    <w:p>
      <w:pPr>
        <w:numPr>
          <w:ilvl w:val="0"/>
          <w:numId w:val="21896"/>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w:t>
      </w:r>
      <w:r>
        <w:rPr>
          <w:b/>
          <w:bCs/>
          <w:color w:val="00274C"/>
          <w:sz w:val="20"/>
          <w:szCs w:val="20"/>
          <w:u w:val="none"/>
        </w:rPr>
        <w:t xml:space="preserve"> REMARQUE</w:t>
      </w:r>
      <w:r>
        <w:rPr>
          <w:color w:val="00274C"/>
          <w:sz w:val="20"/>
          <w:szCs w:val="20"/>
          <w:u w:val="none"/>
        </w:rPr>
        <w:t xml:space="preserve"> : NE PAS utiliser de carburant dont la teneur en soufre est supérieure à 15 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NE PAS utiliser de carburant dont la teneur en soufre est supérieure à 500 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Les huiles « low SAPS », avec des cendres sulfatées 50 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836117" name="name326961cdd3599a0e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5861cdd3599a0e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1896"/>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21896"/>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895411" name="name767561cdd359ac04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8861cdd359ac04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1896"/>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21896"/>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textDirection w:val="lrTb"/>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textDirection w:val="lrTb"/>
      </w:pPr>
      <w:r>
        <w:rPr>
          <w:b/>
          <w:bCs/>
          <w:i/>
          <w:iCs/>
          <w:color w:val="00274C"/>
          <w:sz w:val="20"/>
          <w:szCs w:val="20"/>
          <w:u w:val="none"/>
        </w:rPr>
        <w:br/>
        <w:t xml:space="preserve">KDI Injection électronique certifiés Tier 4 final – Stage IIIB – Stage IV- Stage V</w:t>
      </w:r>
    </w:p>
    <w:p>
      <w:pPr>
        <w:numPr>
          <w:ilvl w:val="0"/>
          <w:numId w:val="21896"/>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u w:val="none"/>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Injection électronique certifiés émissions équivalentes aux moteurs Tier 3 – Stage IIIA (moteurs EGR)</w:t>
      </w:r>
    </w:p>
    <w:p>
      <w:pPr>
        <w:numPr>
          <w:ilvl w:val="0"/>
          <w:numId w:val="21896"/>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u w:val="none"/>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Injection électronique non certifiés (pas de moteurs EGR).</w:t>
      </w:r>
    </w:p>
    <w:p>
      <w:pPr>
        <w:numPr>
          <w:ilvl w:val="0"/>
          <w:numId w:val="21896"/>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u w:val="none"/>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textDirection w:val="lrTb"/>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21896"/>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21896"/>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21896"/>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Carburant Biodiesel</w:t>
      </w:r>
    </w:p>
    <w:p>
      <w:pPr>
        <w:numPr>
          <w:ilvl w:val="0"/>
          <w:numId w:val="21896"/>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21896"/>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textDirection w:val="lrTb"/>
      </w:pPr>
      <w:r>
        <w:rPr>
          <w:i/>
          <w:iCs/>
          <w:color w:val="00274C"/>
          <w:sz w:val="20"/>
          <w:szCs w:val="20"/>
          <w:u w:val="none"/>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textDirection w:val="lrTb"/>
      </w:pPr>
      <w:r>
        <w:rPr>
          <w:color w:val="00274C"/>
          <w:sz w:val="20"/>
          <w:szCs w:val="20"/>
          <w:u w:val="none"/>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Carburants d’aviation</w:t>
      </w:r>
      <w:r>
        <w:rPr>
          <w:i/>
          <w:iCs/>
          <w:color w:val="00274C"/>
          <w:sz w:val="20"/>
          <w:szCs w:val="20"/>
          <w:u w:val="none"/>
        </w:rPr>
        <w:br/>
        <w:t xml:space="preserve">Uniquement pour les moteurs non certifiés sans teneur à injection mécanique KDI (pas de moteurs EGR).</w:t>
      </w:r>
      <w:r>
        <w:rPr>
          <w:color w:val="00274C"/>
          <w:sz w:val="20"/>
          <w:szCs w:val="20"/>
          <w:u w:val="none"/>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P-8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équivaut à F-34/F-35 avec additifs)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(kérosène pour l’aviation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mélange 1:1 de F-54 et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(kérosène pour l’aviation civile)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896"/>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21896"/>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84492372" name="name964061cdd359c24d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24561cdd359c24c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21896"/>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21896"/>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Caractéristiques des batteries</w:t>
      </w:r>
    </w:p>
    <w:p>
      <w:pPr>
        <w:widowControl w:val="on"/>
        <w:pBdr/>
        <w:spacing w:before="0" w:after="0" w:line="262" w:lineRule="auto"/>
        <w:ind w:left="0" w:right="0"/>
        <w:jc w:val="left"/>
        <w:textDirection w:val="lrTb"/>
      </w:pPr>
      <w:r>
        <w:rPr>
          <w:b/>
          <w:bCs/>
          <w:color w:val="00274C"/>
          <w:sz w:val="20"/>
          <w:szCs w:val="20"/>
          <w:u w:val="none"/>
        </w:rPr>
        <w:t xml:space="preserve">Batterie non fournie par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Tableau de commande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Dans le </w:t>
            </w:r>
            <w:r>
              <w:rPr>
                <w:b/>
                <w:bCs/>
                <w:color w:val="00274C"/>
                <w:position w:val="-2"/>
                <w:sz w:val="20"/>
                <w:szCs w:val="20"/>
                <w:u w:val="none"/>
              </w:rPr>
              <w:t xml:space="preserve">Tab. 2.8</w:t>
            </w:r>
            <w:r>
              <w:rPr>
                <w:color w:val="00274C"/>
                <w:position w:val="-2"/>
                <w:sz w:val="20"/>
                <w:szCs w:val="20"/>
                <w:u w:val="none"/>
              </w:rPr>
              <w:t xml:space="preserve">  sont indiqués les composants du tableau de commande.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d'allumage du tableau et moteur avec clé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Écran pour consultation des données ou des erreurs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fléché de navigation dans le menu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fléché de navigation dans le menu inférieur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de sélection ou saisie des données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LED d'état de fonctionnement du moteur (verte = aucun problème rencontré)</w:t>
                  </w:r>
                </w:p>
              </w:tc>
            </w:tr>
          </w:tbl>
          <w:p/>
        </w:tc>
        <w:tc>
          <w:tcPr>
            <w:tcMar>
              <w:top w:w="150" w:type="dxa"/>
              <w:left w:w="150" w:type="dxa"/>
              <w:bottom w:w="150" w:type="dxa"/>
              <w:right w:w="150" w:type="dxa"/>
            </w:tcMar>
            <w:textDirection w:val="lrTb"/>
            <w:vAlign w:val="top"/>
          </w:tcPr>
          <w:p>
            <w:r>
              <w:rPr>
                <w:position w:val="-196"/>
              </w:rPr>
              <w:drawing>
                <wp:inline distT="0" distB="0" distL="0" distR="0">
                  <wp:extent cx="2196000" cy="1296000"/>
                  <wp:effectExtent b="0" l="0" r="0" t="0"/>
                  <wp:docPr id="50644496" name="name203461cdd359df062"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45361cdd359df05d"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 si la LED </w:t>
            </w:r>
            <w:r>
              <w:rPr>
                <w:b/>
                <w:bCs/>
                <w:color w:val="00274C"/>
                <w:position w:val="-2"/>
                <w:sz w:val="20"/>
                <w:szCs w:val="20"/>
                <w:u w:val="none"/>
              </w:rPr>
              <w:t xml:space="preserve">F</w:t>
            </w:r>
            <w:r>
              <w:rPr>
                <w:color w:val="00274C"/>
                <w:position w:val="-2"/>
                <w:sz w:val="20"/>
                <w:szCs w:val="20"/>
                <w:u w:val="none"/>
              </w:rPr>
              <w:t xml:space="preserve"> est allumée en rouge, consulter les ateliers autorisés </w:t>
            </w:r>
            <w:r>
              <w:rPr>
                <w:b/>
                <w:bCs/>
                <w:color w:val="00274C"/>
                <w:position w:val="-2"/>
                <w:sz w:val="20"/>
                <w:szCs w:val="20"/>
                <w:u w:val="none"/>
              </w:rPr>
              <w:t xml:space="preserve">KOHLER</w:t>
            </w:r>
            <w:r>
              <w:rPr>
                <w:color w:val="00274C"/>
                <w:position w:val="-2"/>
                <w:sz w:val="20"/>
                <w:szCs w:val="20"/>
                <w:u w:val="none"/>
              </w:rPr>
              <w:t xml:space="preserve"> pour connaître le type de problème. Pour certains problèmes, l'arrêt automatique du moteur se déclenche.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w:t>
            </w:r>
            <w:r>
              <w:rPr>
                <w:b/>
                <w:bCs/>
                <w:color w:val="00274C"/>
                <w:position w:val="-2"/>
                <w:sz w:val="20"/>
                <w:szCs w:val="20"/>
                <w:u w:val="none"/>
              </w:rPr>
              <w:t xml:space="preserve">Tab. 2.9</w:t>
            </w:r>
            <w:r>
              <w:rPr>
                <w:color w:val="00274C"/>
                <w:position w:val="-2"/>
                <w:sz w:val="20"/>
                <w:szCs w:val="20"/>
                <w:u w:val="none"/>
              </w:rPr>
              <w:t xml:space="preserve">  indique les données qu'il est possible de consulter à l'écran </w:t>
            </w:r>
            <w:r>
              <w:rPr>
                <w:b/>
                <w:bCs/>
                <w:color w:val="00274C"/>
                <w:position w:val="-2"/>
                <w:sz w:val="20"/>
                <w:szCs w:val="20"/>
                <w:u w:val="none"/>
              </w:rPr>
              <w:t xml:space="preserve">B</w:t>
            </w:r>
            <w:r>
              <w:rPr>
                <w:color w:val="00274C"/>
                <w:position w:val="-2"/>
                <w:sz w:val="20"/>
                <w:szCs w:val="20"/>
                <w:u w:val="none"/>
              </w:rPr>
              <w:t xml:space="preserve"> en appuyant sur les boutons </w:t>
            </w:r>
            <w:r>
              <w:rPr>
                <w:b/>
                <w:bCs/>
                <w:color w:val="00274C"/>
                <w:position w:val="-2"/>
                <w:sz w:val="20"/>
                <w:szCs w:val="20"/>
                <w:u w:val="none"/>
              </w:rPr>
              <w:t xml:space="preserve">C</w:t>
            </w:r>
            <w:r>
              <w:rPr>
                <w:color w:val="00274C"/>
                <w:position w:val="-2"/>
                <w:sz w:val="20"/>
                <w:szCs w:val="20"/>
                <w:u w:val="none"/>
              </w:rPr>
              <w:t xml:space="preserve"> ou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 les données décrites dans le </w:t>
            </w:r>
            <w:r>
              <w:rPr>
                <w:b/>
                <w:bCs/>
                <w:color w:val="00274C"/>
                <w:position w:val="-2"/>
                <w:sz w:val="20"/>
                <w:szCs w:val="20"/>
                <w:u w:val="none"/>
              </w:rPr>
              <w:t xml:space="preserve">Tab. 2.9</w:t>
            </w:r>
            <w:r>
              <w:rPr>
                <w:color w:val="00274C"/>
                <w:position w:val="-2"/>
                <w:sz w:val="20"/>
                <w:szCs w:val="20"/>
                <w:u w:val="none"/>
              </w:rPr>
              <w:t xml:space="preserve">  peuvent être différentes; dans ce cas, consulter le manuel de la machine.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Heures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Heures restantes jusqu'à l'entretien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huile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utilisé @ rpm (% d'utilisation)</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1897">
    <w:multiLevelType w:val="hybridMultilevel"/>
    <w:lvl w:ilvl="0" w:tplc="36267622">
      <w:start w:val="1"/>
      <w:numFmt w:val="decimal"/>
      <w:lvlText w:val="%1."/>
      <w:lvlJc w:val="left"/>
      <w:pPr>
        <w:ind w:left="720" w:hanging="360"/>
      </w:pPr>
    </w:lvl>
    <w:lvl w:ilvl="1" w:tplc="36267622" w:tentative="1">
      <w:start w:val="1"/>
      <w:numFmt w:val="lowerLetter"/>
      <w:lvlText w:val="%2."/>
      <w:lvlJc w:val="left"/>
      <w:pPr>
        <w:ind w:left="1440" w:hanging="360"/>
      </w:pPr>
    </w:lvl>
    <w:lvl w:ilvl="2" w:tplc="36267622" w:tentative="1">
      <w:start w:val="1"/>
      <w:numFmt w:val="lowerRoman"/>
      <w:lvlText w:val="%3."/>
      <w:lvlJc w:val="right"/>
      <w:pPr>
        <w:ind w:left="2160" w:hanging="180"/>
      </w:pPr>
    </w:lvl>
    <w:lvl w:ilvl="3" w:tplc="36267622" w:tentative="1">
      <w:start w:val="1"/>
      <w:numFmt w:val="decimal"/>
      <w:lvlText w:val="%4."/>
      <w:lvlJc w:val="left"/>
      <w:pPr>
        <w:ind w:left="2880" w:hanging="360"/>
      </w:pPr>
    </w:lvl>
    <w:lvl w:ilvl="4" w:tplc="36267622" w:tentative="1">
      <w:start w:val="1"/>
      <w:numFmt w:val="lowerLetter"/>
      <w:lvlText w:val="%5."/>
      <w:lvlJc w:val="left"/>
      <w:pPr>
        <w:ind w:left="3600" w:hanging="360"/>
      </w:pPr>
    </w:lvl>
    <w:lvl w:ilvl="5" w:tplc="36267622" w:tentative="1">
      <w:start w:val="1"/>
      <w:numFmt w:val="lowerRoman"/>
      <w:lvlText w:val="%6."/>
      <w:lvlJc w:val="right"/>
      <w:pPr>
        <w:ind w:left="4320" w:hanging="180"/>
      </w:pPr>
    </w:lvl>
    <w:lvl w:ilvl="6" w:tplc="36267622" w:tentative="1">
      <w:start w:val="1"/>
      <w:numFmt w:val="decimal"/>
      <w:lvlText w:val="%7."/>
      <w:lvlJc w:val="left"/>
      <w:pPr>
        <w:ind w:left="5040" w:hanging="360"/>
      </w:pPr>
    </w:lvl>
    <w:lvl w:ilvl="7" w:tplc="36267622" w:tentative="1">
      <w:start w:val="1"/>
      <w:numFmt w:val="lowerLetter"/>
      <w:lvlText w:val="%8."/>
      <w:lvlJc w:val="left"/>
      <w:pPr>
        <w:ind w:left="5760" w:hanging="360"/>
      </w:pPr>
    </w:lvl>
    <w:lvl w:ilvl="8" w:tplc="36267622" w:tentative="1">
      <w:start w:val="1"/>
      <w:numFmt w:val="lowerRoman"/>
      <w:lvlText w:val="%9."/>
      <w:lvlJc w:val="right"/>
      <w:pPr>
        <w:ind w:left="6480" w:hanging="180"/>
      </w:pPr>
    </w:lvl>
  </w:abstractNum>
  <w:abstractNum w:abstractNumId="21896">
    <w:multiLevelType w:val="hybridMultilevel"/>
    <w:lvl w:ilvl="0" w:tplc="8496561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1896">
    <w:abstractNumId w:val="21896"/>
  </w:num>
  <w:num w:numId="21897">
    <w:abstractNumId w:val="2189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88761668" Type="http://schemas.openxmlformats.org/officeDocument/2006/relationships/comments" Target="comments.xml"/><Relationship Id="rId327939845" Type="http://schemas.microsoft.com/office/2011/relationships/commentsExtended" Target="commentsExtended.xml"/><Relationship Id="rId94212541" Type="http://schemas.openxmlformats.org/officeDocument/2006/relationships/image" Target="media/imgrId94212541.jpg"/><Relationship Id="rId780161cdd3591468e" Type="http://schemas.openxmlformats.org/officeDocument/2006/relationships/image" Target="media/imgrId780161cdd3591468e.jpg"/><Relationship Id="rId350561cdd3593f77e" Type="http://schemas.openxmlformats.org/officeDocument/2006/relationships/image" Target="media/imgrId350561cdd3593f77e.jpg"/><Relationship Id="rId116961cdd3595fc4d" Type="http://schemas.openxmlformats.org/officeDocument/2006/relationships/image" Target="media/imgrId116961cdd3595fc4d.jpg"/><Relationship Id="rId610461cdd35974cb6" Type="http://schemas.openxmlformats.org/officeDocument/2006/relationships/image" Target="media/imgrId610461cdd35974cb6.jpg"/><Relationship Id="rId498161cdd35984956" Type="http://schemas.openxmlformats.org/officeDocument/2006/relationships/image" Target="media/imgrId498161cdd35984956.jpg"/><Relationship Id="rId145861cdd3599a0e0" Type="http://schemas.openxmlformats.org/officeDocument/2006/relationships/image" Target="media/imgrId145861cdd3599a0e0.jpg"/><Relationship Id="rId118861cdd359ac046" Type="http://schemas.openxmlformats.org/officeDocument/2006/relationships/image" Target="media/imgrId118861cdd359ac046.jpg"/><Relationship Id="rId924561cdd359c24cb" Type="http://schemas.openxmlformats.org/officeDocument/2006/relationships/image" Target="media/imgrId924561cdd359c24cb.png"/><Relationship Id="rId245361cdd359df05d" Type="http://schemas.openxmlformats.org/officeDocument/2006/relationships/image" Target="media/imgrId245361cdd359df05d.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4212541" Type="http://schemas.openxmlformats.org/officeDocument/2006/relationships/image" Target="media/imgrId9421254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4212541" Type="http://schemas.openxmlformats.org/officeDocument/2006/relationships/image" Target="media/imgrId9421254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4212541" Type="http://schemas.openxmlformats.org/officeDocument/2006/relationships/image" Target="media/imgrId9421254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4212541" Type="http://schemas.openxmlformats.org/officeDocument/2006/relationships/image" Target="media/imgrId9421254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4212541" Type="http://schemas.openxmlformats.org/officeDocument/2006/relationships/image" Target="media/imgrId9421254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4212541" Type="http://schemas.openxmlformats.org/officeDocument/2006/relationships/image" Target="media/imgrId9421254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