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M-MP: Verwendung und Wartung</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85285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2567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687696" w:name="ctxt"/>
    <w:bookmarkEnd w:id="36687696"/>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p>
      <w:pPr>
        <w:numPr>
          <w:ilvl w:val="0"/>
          <w:numId w:val="21686"/>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1686"/>
        </w:numPr>
        <w:spacing w:before="0" w:after="0" w:line="240" w:lineRule="auto"/>
        <w:jc w:val="left"/>
        <w:rPr>
          <w:color w:val="00274C"/>
          <w:sz w:val="20"/>
          <w:szCs w:val="20"/>
        </w:rPr>
      </w:pPr>
      <w:r>
        <w:rPr>
          <w:color w:val="00274C"/>
          <w:sz w:val="20"/>
          <w:szCs w:val="20"/>
          <w:u w:val="none"/>
        </w:rPr>
        <w:t xml:space="preserve">Das vorliegende Handbuch versteht sich als integrierender Bestandteil des Motors und ist diesem bei Abtretung oder Verkauf immer beizufügen.</w:t>
      </w:r>
    </w:p>
    <w:p>
      <w:pPr>
        <w:numPr>
          <w:ilvl w:val="0"/>
          <w:numId w:val="21686"/>
        </w:numPr>
        <w:spacing w:before="0" w:after="0" w:line="240" w:lineRule="auto"/>
        <w:jc w:val="left"/>
        <w:rPr>
          <w:color w:val="00274C"/>
          <w:sz w:val="20"/>
          <w:szCs w:val="20"/>
        </w:rPr>
      </w:pPr>
      <w:r>
        <w:rPr>
          <w:color w:val="00274C"/>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1686"/>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1686"/>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1686"/>
        </w:numPr>
        <w:spacing w:before="0" w:after="0" w:line="240" w:lineRule="auto"/>
        <w:jc w:val="left"/>
        <w:rPr>
          <w:color w:val="00274C"/>
          <w:sz w:val="20"/>
          <w:szCs w:val="20"/>
        </w:rPr>
      </w:pPr>
      <w:r>
        <w:rPr>
          <w:b/>
          <w:bCs/>
          <w:color w:val="00274C"/>
          <w:sz w:val="20"/>
          <w:szCs w:val="20"/>
          <w:u w:val="none"/>
        </w:rPr>
        <w:t xml:space="preserve">Lombardini Marine</w:t>
      </w:r>
      <w:r>
        <w:rPr>
          <w:color w:val="00274C"/>
          <w:sz w:val="20"/>
          <w:szCs w:val="20"/>
          <w:u w:val="none"/>
        </w:rPr>
        <w:t xml:space="preserve"> behält sich das Recht vor, aus technischen oder wirtschaftlichen Gründen jederzeit Veränderungen an den Motoren vorzunehmen.</w:t>
      </w:r>
    </w:p>
    <w:p>
      <w:pPr>
        <w:numPr>
          <w:ilvl w:val="0"/>
          <w:numId w:val="21686"/>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Lombardini Marine</w:t>
      </w:r>
      <w:r>
        <w:rPr>
          <w:color w:val="00274C"/>
          <w:sz w:val="20"/>
          <w:szCs w:val="20"/>
          <w:u w:val="none"/>
        </w:rPr>
        <w:t xml:space="preserve"> keinerlei Verpflichtung in die bisher vermarktete Produktion einzugreifen oder das vorliegende Dokument als unangemessen zu betrachten.</w:t>
      </w:r>
    </w:p>
    <w:p>
      <w:pPr>
        <w:numPr>
          <w:ilvl w:val="0"/>
          <w:numId w:val="21686"/>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Lombardini Marine</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1686"/>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Lombardini Marine</w:t>
      </w:r>
      <w:r>
        <w:rPr>
          <w:color w:val="00274C"/>
          <w:sz w:val="20"/>
          <w:szCs w:val="20"/>
          <w:u w:val="none"/>
        </w:rPr>
        <w:t xml:space="preserve"> , und somit sind ohne ausdrückliche Zustimmung von </w:t>
      </w:r>
      <w:r>
        <w:rPr>
          <w:b/>
          <w:bCs/>
          <w:color w:val="00274C"/>
          <w:sz w:val="20"/>
          <w:szCs w:val="20"/>
          <w:u w:val="none"/>
        </w:rPr>
        <w:t xml:space="preserve">Lombardini Marine</w:t>
      </w:r>
      <w:r>
        <w:rPr>
          <w:color w:val="00274C"/>
          <w:sz w:val="20"/>
          <w:szCs w:val="20"/>
          <w:u w:val="none"/>
        </w:rPr>
        <w:t xml:space="preserve"> keine Kopien oder Nachdrucke, weder auszugsweise noch des gesamten Dokuments, gestattet.</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p>
      <w:pPr>
        <w:widowControl w:val="on"/>
        <w:pBdr/>
        <w:spacing w:before="0" w:after="0" w:line="262" w:lineRule="auto"/>
        <w:ind w:left="0" w:right="0"/>
        <w:jc w:val="left"/>
        <w:textDirection w:val="lrTb"/>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Abs. 2.3</w:t>
      </w:r>
      <w:r>
        <w:rPr>
          <w:color w:val="00274C"/>
          <w:sz w:val="20"/>
          <w:szCs w:val="20"/>
          <w:u w:val="none"/>
        </w:rPr>
        <w:t xml:space="preserve"> - Kapitel 2 Absatz 3.</w:t>
      </w:r>
      <w:r>
        <w:rPr>
          <w:b/>
          <w:bCs/>
          <w:color w:val="00274C"/>
          <w:sz w:val="20"/>
          <w:szCs w:val="20"/>
          <w:u w:val="none"/>
        </w:rPr>
        <w:br/>
        <w:t xml:space="preserve">Tab. 3.4</w:t>
      </w:r>
      <w:r>
        <w:rPr>
          <w:color w:val="00274C"/>
          <w:sz w:val="20"/>
          <w:szCs w:val="20"/>
          <w:u w:val="none"/>
        </w:rPr>
        <w:t xml:space="preserve"> - Kapitel 3 Tabelle 4.</w:t>
      </w:r>
      <w:r>
        <w:rPr>
          <w:b/>
          <w:bCs/>
          <w:color w:val="00274C"/>
          <w:sz w:val="20"/>
          <w:szCs w:val="20"/>
          <w:u w:val="none"/>
        </w:rPr>
        <w:br/>
        <w:t xml:space="preserve">Fig. 5.5</w:t>
      </w:r>
      <w:r>
        <w:rPr>
          <w:color w:val="00274C"/>
          <w:sz w:val="20"/>
          <w:szCs w:val="20"/>
          <w:u w:val="none"/>
        </w:rPr>
        <w:t xml:space="preserve"> - Kapitel 5 Abbildung 5.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Anmerkungen:</w:t>
      </w:r>
      <w:r>
        <w:rPr>
          <w:color w:val="00274C"/>
          <w:sz w:val="20"/>
          <w:szCs w:val="20"/>
          <w:u w:val="none"/>
        </w:rPr>
        <w:t xml:space="preserve"> Sämtliche Daten, Maßeinheiten sowie die entsprechenden Symbole sind in der unten stehenden Tabelle angeführt.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w:t>
      </w:r>
    </w:p>
    <w:p>
      <w:pPr>
        <w:widowControl w:val="on"/>
        <w:pBdr/>
        <w:spacing w:before="0" w:after="0" w:line="262" w:lineRule="auto"/>
        <w:ind w:left="0" w:right="0"/>
        <w:jc w:val="left"/>
        <w:textDirection w:val="lrTb"/>
      </w:pPr>
      <w:r>
        <w:rPr>
          <w:color w:val="00274C"/>
          <w:sz w:val="20"/>
          <w:szCs w:val="20"/>
          <w:u w:val="none"/>
        </w:rPr>
        <w:t xml:space="preserve">Conforme alla normativa </w:t>
      </w:r>
      <w:r>
        <w:rPr>
          <w:b/>
          <w:bCs/>
          <w:color w:val="00274C"/>
          <w:sz w:val="20"/>
          <w:szCs w:val="20"/>
          <w:u w:val="none"/>
        </w:rPr>
        <w:t xml:space="preserve">9768 Stage III A</w:t>
      </w:r>
      <w:r>
        <w:rPr>
          <w:color w:val="00274C"/>
          <w:sz w:val="20"/>
          <w:szCs w:val="20"/>
          <w:u w:val="none"/>
        </w:rPr>
        <w:t xml:space="preserve"> per i mercati </w:t>
      </w:r>
      <w:r>
        <w:rPr>
          <w:b/>
          <w:bCs/>
          <w:color w:val="00274C"/>
          <w:sz w:val="20"/>
          <w:szCs w:val="20"/>
          <w:u w:val="none"/>
        </w:rPr>
        <w:t xml:space="preserve">CE</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p>
      <w:pPr>
        <w:numPr>
          <w:ilvl w:val="0"/>
          <w:numId w:val="21686"/>
        </w:numPr>
        <w:spacing w:before="0" w:after="0" w:line="240" w:lineRule="auto"/>
        <w:jc w:val="left"/>
        <w:rPr>
          <w:color w:val="00274C"/>
          <w:sz w:val="20"/>
          <w:szCs w:val="20"/>
        </w:rPr>
      </w:pPr>
      <w:r>
        <w:rPr>
          <w:color w:val="00274C"/>
          <w:sz w:val="20"/>
          <w:szCs w:val="20"/>
          <w:u w:val="none"/>
        </w:rPr>
        <w:t xml:space="preserve">Die autorisierten Kundendienststellen können auf der Webseite: </w:t>
      </w:r>
      <w:hyperlink r:id="rId116661ead36f9ee93" w:history="1">
        <w:r>
          <w:rPr>
            <w:rStyle w:val="DefaultParagraphFontPHPDOCX"/>
            <w:b/>
            <w:bCs/>
            <w:color w:val="0000FF"/>
            <w:sz w:val="20"/>
            <w:szCs w:val="20"/>
            <w:u w:val="single" w:color=""/>
          </w:rPr>
          <w:t xml:space="preserve">http://www.lombardinimarine.com</w:t>
        </w:r>
      </w:hyperlink>
      <w:r>
        <w:rPr>
          <w:color w:val="00274C"/>
          <w:sz w:val="20"/>
          <w:szCs w:val="20"/>
          <w:u w:val="none"/>
        </w:rPr>
        <w:t xml:space="preserve"> .</w:t>
      </w:r>
    </w:p>
    <w:p>
      <w:pPr>
        <w:numPr>
          <w:ilvl w:val="0"/>
          <w:numId w:val="21686"/>
        </w:numPr>
        <w:spacing w:before="0" w:after="0" w:line="240" w:lineRule="auto"/>
        <w:jc w:val="left"/>
        <w:rPr>
          <w:color w:val="00274C"/>
          <w:sz w:val="20"/>
          <w:szCs w:val="20"/>
        </w:rPr>
      </w:pPr>
      <w:r>
        <w:rPr>
          <w:color w:val="00274C"/>
          <w:sz w:val="20"/>
          <w:szCs w:val="20"/>
          <w:u w:val="none"/>
        </w:rPr>
        <w:t xml:space="preserve">Bei Fragen zu den Garantiebedingungen und -verpflichtungen oder um den Standort desnächsten Fachhändlers zu erfahren, rufen Sie bitte die Nummer +39 07462251 an oder besuchen Sie die Webseite </w:t>
      </w:r>
      <w:hyperlink r:id="rId911961ead36f9efc3" w:history="1">
        <w:r>
          <w:rPr>
            <w:rStyle w:val="DefaultParagraphFontPHPDOCX"/>
            <w:b/>
            <w:bCs/>
            <w:color w:val="0000FF"/>
            <w:sz w:val="20"/>
            <w:szCs w:val="20"/>
            <w:u w:val="single" w:color=""/>
          </w:rPr>
          <w:t xml:space="preserve">http://www.lombardinimarine.com</w:t>
        </w:r>
      </w:hyperlink>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5760000" cy="3736800"/>
            <wp:effectExtent b="0" l="0" r="0" t="0"/>
            <wp:docPr id="47088938" name="name514161ead36fccf35" descr="1.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E.jpg"/>
                    <pic:cNvPicPr/>
                  </pic:nvPicPr>
                  <pic:blipFill>
                    <a:blip r:embed="rId412261ead36fccf2f"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760000" cy="3931200"/>
            <wp:effectExtent b="0" l="0" r="0" t="0"/>
            <wp:docPr id="9780699" name="name815061ead36fe925c" descr="1.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DE.jpg"/>
                    <pic:cNvPicPr/>
                  </pic:nvPicPr>
                  <pic:blipFill>
                    <a:blip r:embed="rId148361ead36fe9253"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Kennschild des Motors befindet sich entweder auf der Seite </w:t>
            </w:r>
            <w:r>
              <w:rPr>
                <w:b/>
                <w:bCs/>
                <w:color w:val="00274C"/>
                <w:position w:val="-2"/>
                <w:sz w:val="20"/>
                <w:szCs w:val="20"/>
                <w:u w:val="none"/>
              </w:rPr>
              <w:t xml:space="preserve">A</w:t>
            </w:r>
            <w:r>
              <w:rPr>
                <w:color w:val="00274C"/>
                <w:position w:val="-2"/>
                <w:sz w:val="20"/>
                <w:szCs w:val="20"/>
                <w:u w:val="none"/>
              </w:rPr>
              <w:t xml:space="preserve"> oder der Seite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position w:val="-492"/>
              </w:rPr>
              <w:drawing>
                <wp:inline distT="0" distB="0" distL="0" distR="0">
                  <wp:extent cx="5544000" cy="6184800"/>
                  <wp:effectExtent b="0" l="0" r="0" t="0"/>
                  <wp:docPr id="62323089" name="name653461ead3701a9fb" descr="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E.jpg"/>
                          <pic:cNvPicPr/>
                        </pic:nvPicPr>
                        <pic:blipFill>
                          <a:blip r:embed="rId511861ead3701a9f7"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(*1):</w:t>
            </w:r>
            <w:r>
              <w:rPr>
                <w:color w:val="00274C"/>
                <w:position w:val="-2"/>
                <w:sz w:val="20"/>
                <w:szCs w:val="20"/>
                <w:u w:val="none"/>
              </w:rPr>
              <w:t xml:space="preserve">   bei der auf dem Kennschild in </w:t>
            </w:r>
            <w:r>
              <w:rPr>
                <w:b/>
                <w:bCs/>
                <w:color w:val="00274C"/>
                <w:position w:val="-2"/>
                <w:sz w:val="20"/>
                <w:szCs w:val="20"/>
                <w:u w:val="none"/>
              </w:rPr>
              <w:t xml:space="preserve">Fig. 1.3</w:t>
            </w:r>
            <w:r>
              <w:rPr>
                <w:color w:val="00274C"/>
                <w:position w:val="-2"/>
                <w:sz w:val="20"/>
                <w:szCs w:val="20"/>
                <w:u w:val="none"/>
              </w:rPr>
              <w:t xml:space="preserve"> angeführten Motorenmodell handelt es sich um ein allgemeines Modell, für das spezifische Modell wird auf das Kennschild verweisen, das auf dem Kipphebeldeckel angebracht ist, siehe </w:t>
            </w:r>
            <w:r>
              <w:rPr>
                <w:b/>
                <w:bCs/>
                <w:color w:val="00274C"/>
                <w:position w:val="-2"/>
                <w:sz w:val="20"/>
                <w:szCs w:val="20"/>
                <w:u w:val="none"/>
              </w:rPr>
              <w:t xml:space="preserve">Fig. 1.4</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02"/>
              </w:rPr>
              <w:drawing>
                <wp:inline distT="0" distB="0" distL="0" distR="0">
                  <wp:extent cx="2232000" cy="720000"/>
                  <wp:effectExtent b="0" l="0" r="0" t="0"/>
                  <wp:docPr id="61908982" name="name735961ead3702f36e"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683761ead3702f369"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1.4</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687">
    <w:multiLevelType w:val="hybridMultilevel"/>
    <w:lvl w:ilvl="0" w:tplc="32540832">
      <w:start w:val="1"/>
      <w:numFmt w:val="decimal"/>
      <w:lvlText w:val="%1."/>
      <w:lvlJc w:val="left"/>
      <w:pPr>
        <w:ind w:left="720" w:hanging="360"/>
      </w:pPr>
    </w:lvl>
    <w:lvl w:ilvl="1" w:tplc="32540832" w:tentative="1">
      <w:start w:val="1"/>
      <w:numFmt w:val="lowerLetter"/>
      <w:lvlText w:val="%2."/>
      <w:lvlJc w:val="left"/>
      <w:pPr>
        <w:ind w:left="1440" w:hanging="360"/>
      </w:pPr>
    </w:lvl>
    <w:lvl w:ilvl="2" w:tplc="32540832" w:tentative="1">
      <w:start w:val="1"/>
      <w:numFmt w:val="lowerRoman"/>
      <w:lvlText w:val="%3."/>
      <w:lvlJc w:val="right"/>
      <w:pPr>
        <w:ind w:left="2160" w:hanging="180"/>
      </w:pPr>
    </w:lvl>
    <w:lvl w:ilvl="3" w:tplc="32540832" w:tentative="1">
      <w:start w:val="1"/>
      <w:numFmt w:val="decimal"/>
      <w:lvlText w:val="%4."/>
      <w:lvlJc w:val="left"/>
      <w:pPr>
        <w:ind w:left="2880" w:hanging="360"/>
      </w:pPr>
    </w:lvl>
    <w:lvl w:ilvl="4" w:tplc="32540832" w:tentative="1">
      <w:start w:val="1"/>
      <w:numFmt w:val="lowerLetter"/>
      <w:lvlText w:val="%5."/>
      <w:lvlJc w:val="left"/>
      <w:pPr>
        <w:ind w:left="3600" w:hanging="360"/>
      </w:pPr>
    </w:lvl>
    <w:lvl w:ilvl="5" w:tplc="32540832" w:tentative="1">
      <w:start w:val="1"/>
      <w:numFmt w:val="lowerRoman"/>
      <w:lvlText w:val="%6."/>
      <w:lvlJc w:val="right"/>
      <w:pPr>
        <w:ind w:left="4320" w:hanging="180"/>
      </w:pPr>
    </w:lvl>
    <w:lvl w:ilvl="6" w:tplc="32540832" w:tentative="1">
      <w:start w:val="1"/>
      <w:numFmt w:val="decimal"/>
      <w:lvlText w:val="%7."/>
      <w:lvlJc w:val="left"/>
      <w:pPr>
        <w:ind w:left="5040" w:hanging="360"/>
      </w:pPr>
    </w:lvl>
    <w:lvl w:ilvl="7" w:tplc="32540832" w:tentative="1">
      <w:start w:val="1"/>
      <w:numFmt w:val="lowerLetter"/>
      <w:lvlText w:val="%8."/>
      <w:lvlJc w:val="left"/>
      <w:pPr>
        <w:ind w:left="5760" w:hanging="360"/>
      </w:pPr>
    </w:lvl>
    <w:lvl w:ilvl="8" w:tplc="32540832" w:tentative="1">
      <w:start w:val="1"/>
      <w:numFmt w:val="lowerRoman"/>
      <w:lvlText w:val="%9."/>
      <w:lvlJc w:val="right"/>
      <w:pPr>
        <w:ind w:left="6480" w:hanging="180"/>
      </w:pPr>
    </w:lvl>
  </w:abstractNum>
  <w:abstractNum w:abstractNumId="21686">
    <w:multiLevelType w:val="hybridMultilevel"/>
    <w:lvl w:ilvl="0" w:tplc="507062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686">
    <w:abstractNumId w:val="21686"/>
  </w:num>
  <w:num w:numId="21687">
    <w:abstractNumId w:val="216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2238939" Type="http://schemas.openxmlformats.org/officeDocument/2006/relationships/comments" Target="comments.xml"/><Relationship Id="rId653693935" Type="http://schemas.microsoft.com/office/2011/relationships/commentsExtended" Target="commentsExtended.xml"/><Relationship Id="rId69256794" Type="http://schemas.openxmlformats.org/officeDocument/2006/relationships/image" Target="media/imgrId69256794.jpg"/><Relationship Id="rId116661ead36f9ee93" Type="http://schemas.openxmlformats.org/officeDocument/2006/relationships/hyperlink" Target="http://www.lombardinimarine.com" TargetMode="External"/><Relationship Id="rId911961ead36f9efc3" Type="http://schemas.openxmlformats.org/officeDocument/2006/relationships/hyperlink" Target="http://www.lombardinimarine.com" TargetMode="External"/><Relationship Id="rId412261ead36fccf2f" Type="http://schemas.openxmlformats.org/officeDocument/2006/relationships/image" Target="media/imgrId412261ead36fccf2f.jpg"/><Relationship Id="rId148361ead36fe9253" Type="http://schemas.openxmlformats.org/officeDocument/2006/relationships/image" Target="media/imgrId148361ead36fe9253.jpg"/><Relationship Id="rId511861ead3701a9f7" Type="http://schemas.openxmlformats.org/officeDocument/2006/relationships/image" Target="media/imgrId511861ead3701a9f7.jpg"/><Relationship Id="rId683761ead3702f369" Type="http://schemas.openxmlformats.org/officeDocument/2006/relationships/image" Target="media/imgrId683761ead3702f36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256794" Type="http://schemas.openxmlformats.org/officeDocument/2006/relationships/image" Target="media/imgrId692567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256794" Type="http://schemas.openxmlformats.org/officeDocument/2006/relationships/image" Target="media/imgrId692567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256794" Type="http://schemas.openxmlformats.org/officeDocument/2006/relationships/image" Target="media/imgrId692567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256794" Type="http://schemas.openxmlformats.org/officeDocument/2006/relationships/image" Target="media/imgrId692567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256794" Type="http://schemas.openxmlformats.org/officeDocument/2006/relationships/image" Target="media/imgrId692567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256794" Type="http://schemas.openxmlformats.org/officeDocument/2006/relationships/image" Target="media/imgrId692567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