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2504TCR / KDI 2504TCRE5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3244708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513731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7069404" w:name="ctxt"/>
    <w:bookmarkEnd w:id="47069404"/>
    <w:p>
      <w:pPr>
        <w:widowControl w:val="on"/>
        <w:pBdr/>
        <w:spacing w:before="75" w:after="75" w:line="240" w:lineRule="auto"/>
        <w:ind w:left="75" w:right="75"/>
        <w:jc w:val="left"/>
        <w:textDirection w:val="lrTb"/>
      </w:pPr>
    </w:p>
    <w:p>
      <w:pPr>
        <w:pStyle w:val="Titolo1"/>
        <w:outlineLvl w:val="0"/>
      </w:pPr>
      <w:r>
        <w:rPr/>
        <w:t xml:space="preserve">Informazioni tecniche</w:t>
      </w:r>
    </w:p>
    <w:p>
      <w:pPr>
        <w:widowControl w:val="on"/>
        <w:pBdr/>
        <w:spacing w:before="0" w:after="0" w:line="240" w:lineRule="auto"/>
        <w:ind w:left="0" w:right="0"/>
        <w:jc w:val="left"/>
        <w:textDirection w:val="lrTb"/>
      </w:pPr>
    </w:p>
    <w:p>
      <w:pPr>
        <w:pStyle w:val="Titolo2"/>
        <w:outlineLvl w:val="1"/>
      </w:pPr>
      <w:r>
        <w:rPr/>
        <w:t xml:space="preserve">Descrizione generale del motore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Diesel 4 tempi con cilindri in linea; - Raffreddamento a liquido;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valvole per cilindro con punterie idrauliche;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Turbocompressore con valvola Waste-gate;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Iniezione diretta common rail.</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Dati tecnici motore</w:t>
      </w:r>
    </w:p>
    <w:p>
      <w:pPr>
        <w:widowControl w:val="on"/>
        <w:pBdr/>
        <w:spacing w:before="0" w:after="0" w:line="262" w:lineRule="auto"/>
        <w:ind w:left="0" w:right="0"/>
        <w:jc w:val="left"/>
        <w:textDirection w:val="lrTb"/>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CARATTERISTICHE TECNICHE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UNITA'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r>
              <w:rPr>
                <w:position w:val="-61"/>
              </w:rPr>
              <w:drawing>
                <wp:inline distT="0" distB="0" distL="0" distR="0">
                  <wp:extent cx="1008000" cy="842400"/>
                  <wp:effectExtent b="0" l="0" r="0" t="0"/>
                  <wp:docPr id="11563849" name="name3208620143a7d8298"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8471620143a7d8293"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r>
              <w:rPr>
                <w:position w:val="-60"/>
              </w:rPr>
              <w:drawing>
                <wp:inline distT="0" distB="0" distL="0" distR="0">
                  <wp:extent cx="1015200" cy="820800"/>
                  <wp:effectExtent b="0" l="0" r="0" t="0"/>
                  <wp:docPr id="17375878" name="name3160620143a80a90b"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4258620143a80a8ee"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Modello motore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Alesaggio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Corsa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INCLINAZIONE MASSIMA DURANTE IL FUNZIONAMENTO (anche in combinato)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minuti</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CAPACITÀ OLIO (livello MAX.) con filtro olio montato</w:t>
            </w:r>
          </w:p>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versione standard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 dispositivo equilibratore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PESO A SECCO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Ingombro motori (mm)</w:t>
      </w:r>
    </w:p>
    <w:p>
      <w:pPr>
        <w:widowControl w:val="on"/>
        <w:pBdr/>
        <w:spacing w:before="225" w:after="225" w:line="262" w:lineRule="auto"/>
        <w:ind w:left="0" w:right="0"/>
        <w:jc w:val="left"/>
        <w:textDirection w:val="lrTb"/>
      </w:pPr>
      <w:r>
        <w:drawing>
          <wp:inline distT="0" distB="0" distL="0" distR="0">
            <wp:extent cx="4752000" cy="2844000"/>
            <wp:effectExtent b="0" l="0" r="0" t="0"/>
            <wp:docPr id="18107600" name="name8945620143a82dc3b"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9577620143a82dc25"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Olio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547222" name="name3152620143a8433b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22620143a8433b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2583"/>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12583"/>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12583"/>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12583"/>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12583"/>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455395" name="name1479620143a852aa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269620143a852aa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2583"/>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12583"/>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12583"/>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8295620143a8530fa" w:history="1"/>
    </w:p>
    <w:p>
      <w:pPr>
        <w:widowControl w:val="on"/>
        <w:pBdr/>
        <w:spacing w:before="0" w:after="0" w:line="262" w:lineRule="auto"/>
        <w:ind w:left="0" w:right="0"/>
        <w:jc w:val="left"/>
        <w:textDirection w:val="lrTb"/>
      </w:pPr>
      <w:r>
        <w:rPr>
          <w:rStyle w:val="DefaultParagraphFontPHPDOCX"/>
          <w:b/>
          <w:bCs/>
          <w:color w:val="00274C"/>
          <w:sz w:val="20"/>
          <w:szCs w:val="20"/>
          <w:u w:val="none"/>
        </w:rPr>
        <w:br/>
        <w:br/>
        <w:br/>
        <w:t xml:space="preserve">2.4.1 Classificazione olio SAE</w:t>
      </w:r>
    </w:p>
    <w:p>
      <w:pPr>
        <w:numPr>
          <w:ilvl w:val="0"/>
          <w:numId w:val="12583"/>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12583"/>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OLIO PRESCRITTO</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2583"/>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12583"/>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12583"/>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 NOTA</w:t>
      </w:r>
      <w:r>
        <w:rPr>
          <w:color w:val="00274C"/>
          <w:sz w:val="20"/>
          <w:szCs w:val="20"/>
          <w:u w:val="none"/>
        </w:rPr>
        <w:t xml:space="preserve"> : Gli oli Low S.A.P.S. con ceneri solfatate &lt;1% non possono essere usati con carburanti con contenuto di zolfo &gt; 50ppm.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Carburante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181148" name="name7263620143a86688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10620143a86687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2583"/>
        </w:numPr>
        <w:spacing w:before="0" w:after="0" w:line="240" w:lineRule="auto"/>
        <w:jc w:val="left"/>
        <w:rPr>
          <w:color w:val="00274C"/>
          <w:sz w:val="20"/>
          <w:szCs w:val="20"/>
        </w:rPr>
      </w:pPr>
      <w:r>
        <w:rPr>
          <w:color w:val="00274C"/>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12583"/>
        </w:numPr>
        <w:spacing w:before="0" w:after="0" w:line="240" w:lineRule="auto"/>
        <w:jc w:val="left"/>
        <w:rPr>
          <w:color w:val="00274C"/>
          <w:sz w:val="20"/>
          <w:szCs w:val="20"/>
        </w:rPr>
      </w:pPr>
      <w:r>
        <w:rPr>
          <w:b/>
          <w:bCs/>
          <w:color w:val="00274C"/>
          <w:sz w:val="20"/>
          <w:szCs w:val="20"/>
          <w:u w:val="none"/>
        </w:rPr>
        <w:t xml:space="preserve">Qualsiasi danno derivante dall’uso di carburanti diversi da quelli raccomandati non sarà coperto dalla garanzia.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135323" name="name5698620143a87abe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802620143a87abe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2583"/>
        </w:numPr>
        <w:spacing w:before="0" w:after="0" w:line="240" w:lineRule="auto"/>
        <w:jc w:val="left"/>
        <w:rPr>
          <w:color w:val="00274C"/>
          <w:sz w:val="20"/>
          <w:szCs w:val="20"/>
        </w:rPr>
      </w:pPr>
      <w:r>
        <w:rPr>
          <w:color w:val="00274C"/>
          <w:sz w:val="20"/>
          <w:szCs w:val="20"/>
          <w:u w:val="none"/>
        </w:rPr>
        <w:t xml:space="preserve">L’uso di carburante adeguatamente filtrato previene l’intasamento dell’impianto di iniezione. Pulire immediatamente qualsiasi fuoriuscita di carburante durante il rifornimento.</w:t>
      </w:r>
    </w:p>
    <w:p>
      <w:pPr>
        <w:numPr>
          <w:ilvl w:val="0"/>
          <w:numId w:val="12583"/>
        </w:numPr>
        <w:spacing w:before="0" w:after="0" w:line="240" w:lineRule="auto"/>
        <w:jc w:val="left"/>
        <w:rPr>
          <w:color w:val="00274C"/>
          <w:sz w:val="20"/>
          <w:szCs w:val="20"/>
        </w:rPr>
      </w:pPr>
      <w:r>
        <w:rPr>
          <w:color w:val="00274C"/>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COMPATIBILITÀ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(contenuto max. biodiesel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equivalente al carburante diesel in conformità alla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Diesel artico</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 1, N. 2</w:t>
            </w:r>
          </w:p>
        </w:tc>
      </w:tr>
    </w:tbl>
    <w:p>
      <w:pPr>
        <w:widowControl w:val="on"/>
        <w:pBdr/>
        <w:spacing w:before="0" w:after="0" w:line="262" w:lineRule="auto"/>
        <w:ind w:left="0" w:right="0"/>
        <w:jc w:val="left"/>
        <w:textDirection w:val="lrTb"/>
      </w:pPr>
      <w:r>
        <w:rPr>
          <w:b/>
          <w:bCs/>
          <w:color w:val="00274C"/>
          <w:sz w:val="20"/>
          <w:szCs w:val="20"/>
          <w:u w:val="none"/>
        </w:rPr>
        <w:t xml:space="preserve">NOTA:</w:t>
      </w:r>
      <w:r>
        <w:rPr>
          <w:color w:val="00274C"/>
          <w:sz w:val="20"/>
          <w:szCs w:val="20"/>
          <w:u w:val="none"/>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textDirection w:val="lrTb"/>
      </w:pPr>
      <w:r>
        <w:rPr>
          <w:b/>
          <w:bCs/>
          <w:i/>
          <w:iCs/>
          <w:color w:val="00274C"/>
          <w:sz w:val="20"/>
          <w:szCs w:val="20"/>
          <w:u w:val="none"/>
        </w:rPr>
        <w:br/>
        <w:t xml:space="preserve">Motori KDI a iniezione elettronica certificati Tier 4 final – Stage IIIB – Stage IV- Stage V</w:t>
      </w:r>
    </w:p>
    <w:p>
      <w:pPr>
        <w:numPr>
          <w:ilvl w:val="0"/>
          <w:numId w:val="12583"/>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r>
        <w:rPr>
          <w:color w:val="00274C"/>
          <w:sz w:val="20"/>
          <w:szCs w:val="20"/>
          <w:u w:val="none"/>
        </w:rPr>
        <w:b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 Un’adeguata capacità lubrificante è garantita dall’uso degli additivi adeguati nei carburanti diesel a basso contenuto di zolfo (‹50 mg/kg) o senza zolfo (‹10 mg/kg o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Motori KDI a iniezione elettronica certificati per le emissioni equivalenti Tier 3 – Stage IIIA (motori EGR)</w:t>
      </w:r>
    </w:p>
    <w:p>
      <w:pPr>
        <w:numPr>
          <w:ilvl w:val="0"/>
          <w:numId w:val="12583"/>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350 mg/kg (ppm).</w:t>
      </w:r>
      <w:r>
        <w:rPr>
          <w:color w:val="00274C"/>
          <w:sz w:val="20"/>
          <w:szCs w:val="20"/>
          <w:u w:val="none"/>
        </w:rPr>
        <w:br/>
        <w:t xml:space="preserve">I carburanti con contenuto di zolfo &gt; 50 mg/kg richiedono un intervallo di sostituzione dell’olio lubrificante più breve di 250 ore. Tuttavia, l’olio motore deve essere sostituito quando il numero basico totale (Total Base Number, TBN) scende a 6,0 mg KOH/g secondo il metodo di test previsto dalla norma ASTM D4739. Non usare oli motore Low SAPS.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Motori KDI a iniezione elettronica non certificati (motori senza EGR)</w:t>
      </w:r>
    </w:p>
    <w:p>
      <w:pPr>
        <w:numPr>
          <w:ilvl w:val="0"/>
          <w:numId w:val="12583"/>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w:t>
      </w:r>
      <w:r>
        <w:rPr>
          <w:color w:val="00274C"/>
          <w:sz w:val="20"/>
          <w:szCs w:val="20"/>
          <w:u w:val="none"/>
        </w:rPr>
        <w:br/>
        <w:t xml:space="preserve">I carburanti con contenuto di zolfo &gt; 15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Carburante per basse temperature</w:t>
      </w:r>
    </w:p>
    <w:p>
      <w:pPr>
        <w:numPr>
          <w:ilvl w:val="0"/>
          <w:numId w:val="12583"/>
        </w:numPr>
        <w:spacing w:before="0" w:after="0" w:line="240" w:lineRule="auto"/>
        <w:jc w:val="left"/>
        <w:rPr>
          <w:color w:val="00274C"/>
          <w:sz w:val="20"/>
          <w:szCs w:val="20"/>
        </w:rPr>
      </w:pPr>
      <w:r>
        <w:rPr>
          <w:color w:val="00274C"/>
          <w:sz w:val="20"/>
          <w:szCs w:val="20"/>
          <w:u w:val="none"/>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u w:val="none"/>
        </w:rPr>
        <w:t xml:space="preserve">Tab. 2.3.</w:t>
      </w:r>
    </w:p>
    <w:p>
      <w:pPr>
        <w:numPr>
          <w:ilvl w:val="0"/>
          <w:numId w:val="12583"/>
        </w:numPr>
        <w:spacing w:before="0" w:after="0" w:line="240" w:lineRule="auto"/>
        <w:jc w:val="left"/>
        <w:rPr>
          <w:color w:val="00274C"/>
          <w:sz w:val="20"/>
          <w:szCs w:val="20"/>
        </w:rPr>
      </w:pPr>
      <w:r>
        <w:rPr>
          <w:color w:val="00274C"/>
          <w:sz w:val="20"/>
          <w:szCs w:val="20"/>
          <w:u w:val="none"/>
        </w:rPr>
        <w:t xml:space="preserve">Questi carburanti limitano la formazione di paraffina alle basse temperature.</w:t>
      </w:r>
    </w:p>
    <w:p>
      <w:pPr>
        <w:numPr>
          <w:ilvl w:val="0"/>
          <w:numId w:val="12583"/>
        </w:numPr>
        <w:spacing w:before="0" w:after="0" w:line="240" w:lineRule="auto"/>
        <w:jc w:val="left"/>
        <w:rPr>
          <w:color w:val="00274C"/>
          <w:sz w:val="20"/>
          <w:szCs w:val="20"/>
        </w:rPr>
      </w:pPr>
      <w:r>
        <w:rPr>
          <w:color w:val="00274C"/>
          <w:sz w:val="20"/>
          <w:szCs w:val="20"/>
          <w:u w:val="none"/>
        </w:rPr>
        <w:t xml:space="preserve">Quando nel carburante si forma la paraffina, il filtro del carburante si intasa interrompendone il flusso.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2.5.2</w:t>
      </w:r>
      <w:r>
        <w:rPr>
          <w:b/>
          <w:bCs/>
          <w:color w:val="00274C"/>
          <w:sz w:val="20"/>
          <w:szCs w:val="20"/>
          <w:u w:val="none"/>
        </w:rPr>
        <w:t xml:space="preserve"> Carburante Biodiesel</w:t>
      </w:r>
    </w:p>
    <w:p>
      <w:pPr>
        <w:numPr>
          <w:ilvl w:val="0"/>
          <w:numId w:val="12583"/>
        </w:numPr>
        <w:spacing w:before="0" w:after="0" w:line="240" w:lineRule="auto"/>
        <w:jc w:val="left"/>
        <w:rPr>
          <w:color w:val="00274C"/>
          <w:sz w:val="20"/>
          <w:szCs w:val="20"/>
        </w:rPr>
      </w:pPr>
      <w:r>
        <w:rPr>
          <w:color w:val="00274C"/>
          <w:sz w:val="20"/>
          <w:szCs w:val="20"/>
          <w:u w:val="none"/>
        </w:rPr>
        <w:t xml:space="preserve">I carburanti contenenti 10% di metilestere o B10, sono adatti all'uso su questo motore, purchè rispondenti alle specifiche riportate nella </w:t>
      </w:r>
      <w:r>
        <w:rPr>
          <w:b/>
          <w:bCs/>
          <w:color w:val="00274C"/>
          <w:sz w:val="20"/>
          <w:szCs w:val="20"/>
          <w:u w:val="none"/>
        </w:rPr>
        <w:t xml:space="preserve">Tab. 2.3</w:t>
      </w:r>
      <w:r>
        <w:rPr>
          <w:color w:val="00274C"/>
          <w:sz w:val="20"/>
          <w:szCs w:val="20"/>
          <w:u w:val="none"/>
        </w:rPr>
        <w:t xml:space="preserve"> .</w:t>
      </w:r>
    </w:p>
    <w:p>
      <w:pPr>
        <w:numPr>
          <w:ilvl w:val="0"/>
          <w:numId w:val="12583"/>
        </w:numPr>
        <w:spacing w:before="0" w:after="0" w:line="240" w:lineRule="auto"/>
        <w:jc w:val="left"/>
        <w:rPr>
          <w:color w:val="00274C"/>
          <w:sz w:val="20"/>
          <w:szCs w:val="20"/>
        </w:rPr>
      </w:pPr>
      <w:r>
        <w:rPr>
          <w:b/>
          <w:bCs/>
          <w:color w:val="00274C"/>
          <w:sz w:val="20"/>
          <w:szCs w:val="20"/>
          <w:u w:val="none"/>
        </w:rPr>
        <w:t xml:space="preserve">NON USARE</w:t>
      </w:r>
      <w:r>
        <w:rPr>
          <w:color w:val="00274C"/>
          <w:sz w:val="20"/>
          <w:szCs w:val="20"/>
          <w:u w:val="none"/>
        </w:rPr>
        <w:t xml:space="preserve"> oli vegetali come biocarburante per questo motore.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COMPATIBILITÀ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alla norma EN 14214 (ammesso solo per miscele con carburante diesel al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Carburanti sintetici: GTL, CTL, BTL, HV</w:t>
      </w:r>
      <w:r>
        <w:rPr>
          <w:color w:val="00274C"/>
          <w:sz w:val="20"/>
          <w:szCs w:val="20"/>
          <w:u w:val="none"/>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u w:val="none"/>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Carburanti non stradali</w:t>
      </w:r>
    </w:p>
    <w:p>
      <w:pPr>
        <w:widowControl w:val="on"/>
        <w:pBdr/>
        <w:spacing w:before="0" w:after="0" w:line="262" w:lineRule="auto"/>
        <w:ind w:left="0" w:right="0"/>
        <w:jc w:val="left"/>
        <w:textDirection w:val="lrTb"/>
      </w:pPr>
      <w:r>
        <w:rPr>
          <w:i/>
          <w:iCs/>
          <w:color w:val="00274C"/>
          <w:sz w:val="20"/>
          <w:szCs w:val="20"/>
          <w:u w:val="none"/>
        </w:rPr>
        <w:t xml:space="preserve">Solo per motori certificati per le emissioni equivalenti KDI De- Contented a iniezione elettronica Tier 3 – Stage IIIA (motori EGR) e motori non certificati KDI De- Contented a iniezione elettronica (motori senza EGR).</w:t>
      </w:r>
    </w:p>
    <w:p>
      <w:pPr>
        <w:widowControl w:val="on"/>
        <w:pBdr/>
        <w:spacing w:before="0" w:after="0" w:line="262" w:lineRule="auto"/>
        <w:ind w:left="0" w:right="0"/>
        <w:jc w:val="left"/>
        <w:textDirection w:val="lrTb"/>
      </w:pPr>
      <w:r>
        <w:rPr>
          <w:color w:val="00274C"/>
          <w:sz w:val="20"/>
          <w:szCs w:val="20"/>
          <w:u w:val="none"/>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u w:val="none"/>
        </w:rPr>
        <w:br/>
        <w:t xml:space="preserve">A questi parametri si applicano i seguenti limiti:</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PARAMETRO CARBURANTE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di cetano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Densità del carburante a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Contenuto di zolfo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Carburanti per aviogetti</w:t>
      </w:r>
      <w:r>
        <w:rPr>
          <w:color w:val="00274C"/>
          <w:sz w:val="20"/>
          <w:szCs w:val="20"/>
          <w:u w:val="none"/>
        </w:rPr>
        <w:br/>
        <w:t xml:space="preserve"> </w:t>
      </w:r>
      <w:r>
        <w:rPr>
          <w:i/>
          <w:iCs/>
          <w:color w:val="00274C"/>
          <w:sz w:val="20"/>
          <w:szCs w:val="20"/>
          <w:u w:val="none"/>
        </w:rPr>
        <w:t xml:space="preserve">Solo per motori non certificati KDI De- Contented a iniezione elettronica (motori senza EGR).</w:t>
      </w:r>
      <w:r>
        <w:rPr>
          <w:color w:val="00274C"/>
          <w:sz w:val="20"/>
          <w:szCs w:val="20"/>
          <w:u w:val="none"/>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(cherosene, designazione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(cherosene, denominazione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(cherosene, denominazione NATO, equivalente a F-34/F-35 con additivi)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(cherosene per aviazione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(cherosene, denominazione NATO, miscela 1:1 di F-54 e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(cherosene per aviazione civile)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Istruzioni per l’installazione in relazione alle emissioni</w:t>
      </w:r>
      <w:r>
        <w:rPr>
          <w:color w:val="00274C"/>
          <w:sz w:val="20"/>
          <w:szCs w:val="20"/>
          <w:u w:val="none"/>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583"/>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12583"/>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38246224" name="name1923620143a891b5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165620143a891b4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Importante</w:t>
            </w:r>
          </w:p>
          <w:p>
            <w:pPr>
              <w:numPr>
                <w:ilvl w:val="0"/>
                <w:numId w:val="12583"/>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12583"/>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Caratteristiche batterie</w:t>
      </w:r>
    </w:p>
    <w:p>
      <w:pPr>
        <w:widowControl w:val="on"/>
        <w:pBdr/>
        <w:spacing w:before="0" w:after="0" w:line="262" w:lineRule="auto"/>
        <w:ind w:left="0" w:right="0"/>
        <w:jc w:val="left"/>
        <w:textDirection w:val="lrTb"/>
      </w:pPr>
      <w:r>
        <w:rPr>
          <w:b/>
          <w:bCs/>
          <w:color w:val="00274C"/>
          <w:sz w:val="20"/>
          <w:szCs w:val="20"/>
          <w:u w:val="none"/>
        </w:rPr>
        <w:t xml:space="preserve">Batteria non di fornitura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Quadro di comando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Nella </w:t>
            </w:r>
            <w:r>
              <w:rPr>
                <w:b/>
                <w:bCs/>
                <w:color w:val="00274C"/>
                <w:position w:val="-2"/>
                <w:sz w:val="20"/>
                <w:szCs w:val="20"/>
                <w:u w:val="none"/>
              </w:rPr>
              <w:t xml:space="preserve">Tab. 2.8</w:t>
            </w:r>
            <w:r>
              <w:rPr>
                <w:color w:val="00274C"/>
                <w:position w:val="-2"/>
                <w:sz w:val="20"/>
                <w:szCs w:val="20"/>
                <w:u w:val="none"/>
              </w:rPr>
              <w:t xml:space="preserve">  sono indicati i componenti del quadro di comando.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accensione quadro e motore con chiave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Display di consultazione dati o errori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freccia di navigazione menu superiore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freccia di navigazione menu inferiore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di selezione o inserimento dati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LED stato di funzionamento motore (verde = nessun inconveniente rilevato)</w:t>
                  </w:r>
                </w:p>
              </w:tc>
            </w:tr>
          </w:tbl>
          <w:p/>
        </w:tc>
        <w:tc>
          <w:tcPr>
            <w:tcMar>
              <w:top w:w="150" w:type="dxa"/>
              <w:left w:w="150" w:type="dxa"/>
              <w:bottom w:w="150" w:type="dxa"/>
              <w:right w:w="150" w:type="dxa"/>
            </w:tcMar>
            <w:textDirection w:val="lrTb"/>
            <w:vAlign w:val="top"/>
          </w:tcPr>
          <w:p>
            <w:r>
              <w:rPr>
                <w:position w:val="-196"/>
              </w:rPr>
              <w:drawing>
                <wp:inline distT="0" distB="0" distL="0" distR="0">
                  <wp:extent cx="2196000" cy="1296000"/>
                  <wp:effectExtent b="0" l="0" r="0" t="0"/>
                  <wp:docPr id="71070220" name="name7857620143a8ac0fb"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1388620143a8ac0f6"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 nel caso il LED </w:t>
            </w:r>
            <w:r>
              <w:rPr>
                <w:b/>
                <w:bCs/>
                <w:color w:val="00274C"/>
                <w:position w:val="-2"/>
                <w:sz w:val="20"/>
                <w:szCs w:val="20"/>
                <w:u w:val="none"/>
              </w:rPr>
              <w:t xml:space="preserve">F</w:t>
            </w:r>
            <w:r>
              <w:rPr>
                <w:color w:val="00274C"/>
                <w:position w:val="-2"/>
                <w:sz w:val="20"/>
                <w:szCs w:val="20"/>
                <w:u w:val="none"/>
              </w:rPr>
              <w:t xml:space="preserve"> sia illuminato in rosso, consultare il le officine autorizzate </w:t>
            </w:r>
            <w:r>
              <w:rPr>
                <w:b/>
                <w:bCs/>
                <w:color w:val="00274C"/>
                <w:position w:val="-2"/>
                <w:sz w:val="20"/>
                <w:szCs w:val="20"/>
                <w:u w:val="none"/>
              </w:rPr>
              <w:t xml:space="preserve">KOHLER</w:t>
            </w:r>
            <w:r>
              <w:rPr>
                <w:color w:val="00274C"/>
                <w:position w:val="-2"/>
                <w:sz w:val="20"/>
                <w:szCs w:val="20"/>
                <w:u w:val="none"/>
              </w:rPr>
              <w:t xml:space="preserve"> per conoscere il tipo di inconveniente. Per alcuni inconvenienti si attiva lo spegnimento automatico del motore.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Nella </w:t>
            </w:r>
            <w:r>
              <w:rPr>
                <w:b/>
                <w:bCs/>
                <w:color w:val="00274C"/>
                <w:position w:val="-2"/>
                <w:sz w:val="20"/>
                <w:szCs w:val="20"/>
                <w:u w:val="none"/>
              </w:rPr>
              <w:t xml:space="preserve">Tab. 2.9</w:t>
            </w:r>
            <w:r>
              <w:rPr>
                <w:color w:val="00274C"/>
                <w:position w:val="-2"/>
                <w:sz w:val="20"/>
                <w:szCs w:val="20"/>
                <w:u w:val="none"/>
              </w:rPr>
              <w:t xml:space="preserve">  sono indicati i dati che è possibile consultare sul display </w:t>
            </w:r>
            <w:r>
              <w:rPr>
                <w:b/>
                <w:bCs/>
                <w:color w:val="00274C"/>
                <w:position w:val="-2"/>
                <w:sz w:val="20"/>
                <w:szCs w:val="20"/>
                <w:u w:val="none"/>
              </w:rPr>
              <w:t xml:space="preserve">B</w:t>
            </w:r>
            <w:r>
              <w:rPr>
                <w:color w:val="00274C"/>
                <w:position w:val="-2"/>
                <w:sz w:val="20"/>
                <w:szCs w:val="20"/>
                <w:u w:val="none"/>
              </w:rPr>
              <w:t xml:space="preserve"> premendo i pulsanti </w:t>
            </w:r>
            <w:r>
              <w:rPr>
                <w:b/>
                <w:bCs/>
                <w:color w:val="00274C"/>
                <w:position w:val="-2"/>
                <w:sz w:val="20"/>
                <w:szCs w:val="20"/>
                <w:u w:val="none"/>
              </w:rPr>
              <w:t xml:space="preserve">C</w:t>
            </w:r>
            <w:r>
              <w:rPr>
                <w:color w:val="00274C"/>
                <w:position w:val="-2"/>
                <w:sz w:val="20"/>
                <w:szCs w:val="20"/>
                <w:u w:val="none"/>
              </w:rPr>
              <w:t xml:space="preserve"> o </w:t>
            </w:r>
            <w:r>
              <w:rPr>
                <w:b/>
                <w:bCs/>
                <w:color w:val="00274C"/>
                <w:position w:val="-2"/>
                <w:sz w:val="20"/>
                <w:szCs w:val="20"/>
                <w:u w:val="none"/>
              </w:rPr>
              <w:t xml:space="preserve">D.</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i dati descritti in </w:t>
            </w:r>
            <w:r>
              <w:rPr>
                <w:b/>
                <w:bCs/>
                <w:color w:val="00274C"/>
                <w:position w:val="-2"/>
                <w:sz w:val="20"/>
                <w:szCs w:val="20"/>
                <w:u w:val="none"/>
              </w:rPr>
              <w:t xml:space="preserve">Tab. 2.9</w:t>
            </w:r>
            <w:r>
              <w:rPr>
                <w:color w:val="00274C"/>
                <w:position w:val="-2"/>
                <w:sz w:val="20"/>
                <w:szCs w:val="20"/>
                <w:u w:val="none"/>
              </w:rPr>
              <w:t xml:space="preserve">  possono essere diversi, in tal caso consultare il manuale della macchina.</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Ore di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Ore rimanenti alla manutenzione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Giri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olio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utilizzata @ rpm (% di utilizzo)</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2584">
    <w:multiLevelType w:val="hybridMultilevel"/>
    <w:lvl w:ilvl="0" w:tplc="80089378">
      <w:start w:val="1"/>
      <w:numFmt w:val="decimal"/>
      <w:lvlText w:val="%1."/>
      <w:lvlJc w:val="left"/>
      <w:pPr>
        <w:ind w:left="720" w:hanging="360"/>
      </w:pPr>
    </w:lvl>
    <w:lvl w:ilvl="1" w:tplc="80089378" w:tentative="1">
      <w:start w:val="1"/>
      <w:numFmt w:val="lowerLetter"/>
      <w:lvlText w:val="%2."/>
      <w:lvlJc w:val="left"/>
      <w:pPr>
        <w:ind w:left="1440" w:hanging="360"/>
      </w:pPr>
    </w:lvl>
    <w:lvl w:ilvl="2" w:tplc="80089378" w:tentative="1">
      <w:start w:val="1"/>
      <w:numFmt w:val="lowerRoman"/>
      <w:lvlText w:val="%3."/>
      <w:lvlJc w:val="right"/>
      <w:pPr>
        <w:ind w:left="2160" w:hanging="180"/>
      </w:pPr>
    </w:lvl>
    <w:lvl w:ilvl="3" w:tplc="80089378" w:tentative="1">
      <w:start w:val="1"/>
      <w:numFmt w:val="decimal"/>
      <w:lvlText w:val="%4."/>
      <w:lvlJc w:val="left"/>
      <w:pPr>
        <w:ind w:left="2880" w:hanging="360"/>
      </w:pPr>
    </w:lvl>
    <w:lvl w:ilvl="4" w:tplc="80089378" w:tentative="1">
      <w:start w:val="1"/>
      <w:numFmt w:val="lowerLetter"/>
      <w:lvlText w:val="%5."/>
      <w:lvlJc w:val="left"/>
      <w:pPr>
        <w:ind w:left="3600" w:hanging="360"/>
      </w:pPr>
    </w:lvl>
    <w:lvl w:ilvl="5" w:tplc="80089378" w:tentative="1">
      <w:start w:val="1"/>
      <w:numFmt w:val="lowerRoman"/>
      <w:lvlText w:val="%6."/>
      <w:lvlJc w:val="right"/>
      <w:pPr>
        <w:ind w:left="4320" w:hanging="180"/>
      </w:pPr>
    </w:lvl>
    <w:lvl w:ilvl="6" w:tplc="80089378" w:tentative="1">
      <w:start w:val="1"/>
      <w:numFmt w:val="decimal"/>
      <w:lvlText w:val="%7."/>
      <w:lvlJc w:val="left"/>
      <w:pPr>
        <w:ind w:left="5040" w:hanging="360"/>
      </w:pPr>
    </w:lvl>
    <w:lvl w:ilvl="7" w:tplc="80089378" w:tentative="1">
      <w:start w:val="1"/>
      <w:numFmt w:val="lowerLetter"/>
      <w:lvlText w:val="%8."/>
      <w:lvlJc w:val="left"/>
      <w:pPr>
        <w:ind w:left="5760" w:hanging="360"/>
      </w:pPr>
    </w:lvl>
    <w:lvl w:ilvl="8" w:tplc="80089378" w:tentative="1">
      <w:start w:val="1"/>
      <w:numFmt w:val="lowerRoman"/>
      <w:lvlText w:val="%9."/>
      <w:lvlJc w:val="right"/>
      <w:pPr>
        <w:ind w:left="6480" w:hanging="180"/>
      </w:pPr>
    </w:lvl>
  </w:abstractNum>
  <w:abstractNum w:abstractNumId="12583">
    <w:multiLevelType w:val="hybridMultilevel"/>
    <w:lvl w:ilvl="0" w:tplc="3331227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2583">
    <w:abstractNumId w:val="12583"/>
  </w:num>
  <w:num w:numId="12584">
    <w:abstractNumId w:val="1258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16042783" Type="http://schemas.openxmlformats.org/officeDocument/2006/relationships/comments" Target="comments.xml"/><Relationship Id="rId394003709" Type="http://schemas.microsoft.com/office/2011/relationships/commentsExtended" Target="commentsExtended.xml"/><Relationship Id="rId15137316" Type="http://schemas.openxmlformats.org/officeDocument/2006/relationships/image" Target="media/imgrId15137316.jpg"/><Relationship Id="rId8295620143a8530fa" Type="http://schemas.openxmlformats.org/officeDocument/2006/relationships/hyperlink" Target="https://iservice.lombardini.it/jsp/Template2/manuale.jsp?id=203&amp;parent=1000" TargetMode="External"/><Relationship Id="rId8471620143a7d8293" Type="http://schemas.openxmlformats.org/officeDocument/2006/relationships/image" Target="media/imgrId8471620143a7d8293.jpg"/><Relationship Id="rId4258620143a80a8ee" Type="http://schemas.openxmlformats.org/officeDocument/2006/relationships/image" Target="media/imgrId4258620143a80a8ee.jpg"/><Relationship Id="rId9577620143a82dc25" Type="http://schemas.openxmlformats.org/officeDocument/2006/relationships/image" Target="media/imgrId9577620143a82dc25.jpg"/><Relationship Id="rId1222620143a8433b8" Type="http://schemas.openxmlformats.org/officeDocument/2006/relationships/image" Target="media/imgrId1222620143a8433b8.jpg"/><Relationship Id="rId2269620143a852aa5" Type="http://schemas.openxmlformats.org/officeDocument/2006/relationships/image" Target="media/imgrId2269620143a852aa5.jpg"/><Relationship Id="rId5810620143a866876" Type="http://schemas.openxmlformats.org/officeDocument/2006/relationships/image" Target="media/imgrId5810620143a866876.jpg"/><Relationship Id="rId6802620143a87abe5" Type="http://schemas.openxmlformats.org/officeDocument/2006/relationships/image" Target="media/imgrId6802620143a87abe5.jpg"/><Relationship Id="rId9165620143a891b4c" Type="http://schemas.openxmlformats.org/officeDocument/2006/relationships/image" Target="media/imgrId9165620143a891b4c.png"/><Relationship Id="rId1388620143a8ac0f6" Type="http://schemas.openxmlformats.org/officeDocument/2006/relationships/image" Target="media/imgrId1388620143a8ac0f6.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5137316" Type="http://schemas.openxmlformats.org/officeDocument/2006/relationships/image" Target="media/imgrId1513731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5137316" Type="http://schemas.openxmlformats.org/officeDocument/2006/relationships/image" Target="media/imgrId1513731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5137316" Type="http://schemas.openxmlformats.org/officeDocument/2006/relationships/image" Target="media/imgrId1513731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5137316" Type="http://schemas.openxmlformats.org/officeDocument/2006/relationships/image" Target="media/imgrId1513731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5137316" Type="http://schemas.openxmlformats.org/officeDocument/2006/relationships/image" Target="media/imgrId1513731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5137316" Type="http://schemas.openxmlformats.org/officeDocument/2006/relationships/image" Target="media/imgrId1513731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