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1903 M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856112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04713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8395299" w:name="ctxt"/>
    <w:bookmarkEnd w:id="78395299"/>
    <w:p>
      <w:pPr>
        <w:widowControl w:val="on"/>
        <w:pBdr/>
        <w:spacing w:before="75" w:after="75" w:line="240" w:lineRule="auto"/>
        <w:ind w:left="75" w:right="75"/>
        <w:jc w:val="left"/>
        <w:textDirection w:val="lrTb"/>
      </w:pPr>
    </w:p>
    <w:p>
      <w:pPr>
        <w:pStyle w:val="Titolo1"/>
        <w:outlineLvl w:val="0"/>
      </w:pPr>
      <w:r>
        <w:rPr/>
        <w:t xml:space="preserve">Informations techniques</w:t>
      </w:r>
    </w:p>
    <w:p>
      <w:pPr>
        <w:widowControl w:val="on"/>
        <w:pBdr/>
        <w:spacing w:before="0" w:after="0" w:line="240" w:lineRule="auto"/>
        <w:ind w:left="0" w:right="0"/>
        <w:jc w:val="left"/>
        <w:textDirection w:val="lrTb"/>
      </w:pPr>
    </w:p>
    <w:p>
      <w:pPr>
        <w:pStyle w:val="Titolo2"/>
        <w:outlineLvl w:val="1"/>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SPECIFICATIONS DE CONSTRUCTION ET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atmosphérique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Lubrifiant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47606229c776bd024"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Voir </w:t>
            </w:r>
            <w:hyperlink r:id="rId27936229c776be3f5"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Encombrement des moteurs (mm)</w:t>
      </w:r>
    </w:p>
    <w:p>
      <w:pPr>
        <w:widowControl w:val="on"/>
        <w:pBdr/>
        <w:spacing w:before="0" w:after="0" w:line="262" w:lineRule="auto"/>
        <w:ind w:left="0" w:right="0"/>
        <w:jc w:val="left"/>
        <w:textDirection w:val="lrTb"/>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462400"/>
            <wp:effectExtent b="0" l="0" r="0" t="0"/>
            <wp:docPr id="37059117" name="name10826229c7770b8ed"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68816229c7770b8cd"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466"/>
              </w:rPr>
              <w:drawing>
                <wp:inline distT="0" distB="0" distL="0" distR="0">
                  <wp:extent cx="4824000" cy="5860800"/>
                  <wp:effectExtent b="0" l="0" r="0" t="0"/>
                  <wp:docPr id="18548659" name="name66446229c77728431"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74646229c7772842c"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230"/>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23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23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91941" name="name17796229c7773a3f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496229c7773a3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Huile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78251" name="name80466229c7774b1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766229c7774b1a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8230"/>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8230"/>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8230"/>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8230"/>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8230"/>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88878" name="name25716229c7775d50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326229c7775d4f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8230"/>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8230"/>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8230"/>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Classification de l'huile SAE</w:t>
      </w:r>
    </w:p>
    <w:p>
      <w:pPr>
        <w:numPr>
          <w:ilvl w:val="0"/>
          <w:numId w:val="8230"/>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8230"/>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 PRESCRIT</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SPÉCIFICATIONS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8230"/>
        </w:numPr>
        <w:spacing w:before="0" w:after="0" w:line="240" w:lineRule="auto"/>
        <w:jc w:val="left"/>
        <w:rPr>
          <w:color w:val="00274C"/>
          <w:sz w:val="20"/>
          <w:szCs w:val="20"/>
        </w:rPr>
      </w:pPr>
      <w:r>
        <w:rPr>
          <w:color w:val="00274C"/>
          <w:sz w:val="20"/>
          <w:szCs w:val="20"/>
          <w:u w:val="none"/>
        </w:rPr>
        <w:t xml:space="preserve">Les huiles « low SAPS », avec des cendres sulfatées 50 ppm.</w:t>
      </w:r>
    </w:p>
    <w:p>
      <w:pPr>
        <w:numPr>
          <w:ilvl w:val="0"/>
          <w:numId w:val="8230"/>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12983" name="name88256229c7776f2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486229c7776f28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8230"/>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8230"/>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28732" name="name49616229c7778003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156229c7778003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8230"/>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8230"/>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textDirection w:val="lrTb"/>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textDirection w:val="lrTb"/>
      </w:pPr>
      <w:r>
        <w:rPr>
          <w:b/>
          <w:bCs/>
          <w:i/>
          <w:iCs/>
          <w:color w:val="00274C"/>
          <w:sz w:val="20"/>
          <w:szCs w:val="20"/>
          <w:u w:val="none"/>
        </w:rPr>
        <w:br/>
        <w:t xml:space="preserve">Moteurs KDI à injection mécanique certifiés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(avec et sans EGR)</w:t>
      </w:r>
    </w:p>
    <w:p>
      <w:pPr>
        <w:numPr>
          <w:ilvl w:val="0"/>
          <w:numId w:val="8230"/>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Moteurs KDI à injection mécanique non certifiés (pas de moteurs EGR)</w:t>
      </w:r>
    </w:p>
    <w:p>
      <w:pPr>
        <w:numPr>
          <w:ilvl w:val="0"/>
          <w:numId w:val="8230"/>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8230"/>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8230"/>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8230"/>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 Biodiesel</w:t>
      </w:r>
    </w:p>
    <w:p>
      <w:pPr>
        <w:numPr>
          <w:ilvl w:val="0"/>
          <w:numId w:val="8230"/>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8230"/>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textDirection w:val="lrTb"/>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375709" name="name52716229c777978c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456229c777978b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Caractéristiques des batteries</w:t>
      </w:r>
    </w:p>
    <w:p>
      <w:pPr>
        <w:widowControl w:val="on"/>
        <w:pBdr/>
        <w:spacing w:before="0" w:after="0" w:line="262" w:lineRule="auto"/>
        <w:ind w:left="0" w:right="0"/>
        <w:jc w:val="left"/>
        <w:textDirection w:val="lrTb"/>
      </w:pPr>
      <w:r>
        <w:rPr>
          <w:b/>
          <w:bCs/>
          <w:color w:val="00274C"/>
          <w:sz w:val="20"/>
          <w:szCs w:val="20"/>
          <w:u w:val="none"/>
        </w:rPr>
        <w:t xml:space="preserve">Batterie non fournie par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Entretien périodique</w:t>
      </w:r>
    </w:p>
    <w:p>
      <w:pPr>
        <w:widowControl w:val="on"/>
        <w:pBdr/>
        <w:spacing w:before="0" w:after="0" w:line="262" w:lineRule="auto"/>
        <w:ind w:left="0" w:right="0"/>
        <w:jc w:val="left"/>
        <w:textDirection w:val="lrTb"/>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textDirection w:val="lrTb"/>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Présence d’eau dans le filtre à carburant</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4 Final – Stage IIIB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4 Final – Stage IIIB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En cas de faible consommation : 12 mois.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textDirection w:val="lrTb"/>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textDirection w:val="lrTb"/>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textDirection w:val="lrTb"/>
      </w:pPr>
      <w:r>
        <w:rPr>
          <w:color w:val="00274C"/>
          <w:sz w:val="20"/>
          <w:szCs w:val="20"/>
          <w:u w:val="none"/>
        </w:rPr>
        <w:t xml:space="preserve">(9) - Tester tous les ans l’état du réfrigérant à l’aide de bandelettes d’essai de réfrigérant.</w:t>
      </w:r>
      <w:r>
        <w:rPr>
          <w:color w:val="00274C"/>
          <w:sz w:val="20"/>
          <w:szCs w:val="20"/>
          <w:u w:val="none"/>
        </w:rPr>
        <w:br/>
        <w:t xml:space="preserve">(10) - Il est recommandé d’ajouter des SCA (Additifs de refroidissement supplémentaires) au premier intervalle de maintenance.</w:t>
      </w:r>
    </w:p>
    <w:p>
      <w:pPr>
        <w:widowControl w:val="on"/>
        <w:pBdr/>
        <w:spacing w:before="0" w:after="0" w:line="262" w:lineRule="auto"/>
        <w:ind w:left="0" w:right="0"/>
        <w:jc w:val="left"/>
        <w:textDirection w:val="lrTb"/>
      </w:pPr>
      <w:r>
        <w:rPr>
          <w:color w:val="00274C"/>
          <w:sz w:val="20"/>
          <w:szCs w:val="20"/>
          <w:u w:val="none"/>
        </w:rPr>
        <w:t xml:space="preserve">(11) - Voir le cap. 2.5 </w:t>
      </w:r>
      <w:hyperlink r:id="rId88026229c777aa37c" w:history="1">
        <w:r>
          <w:rPr>
            <w:rStyle w:val="DefaultParagraphFontPHPDOCX"/>
            <w:b/>
            <w:bCs/>
            <w:i/>
            <w:iCs/>
            <w:color w:val="0000FF"/>
            <w:sz w:val="20"/>
            <w:szCs w:val="20"/>
            <w:u w:val="none"/>
          </w:rPr>
          <w:t xml:space="preserve">"Moteurs KDI à injection mécanique non certifiés (pas de moteurs EGR)"</w:t>
        </w:r>
      </w:hyperlink>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carburant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 d'alimentation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80142" name="name46986229c777baf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906229c777baf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Le circuit d’alimentation du carburant est sous basse pression du réservoir </w:t>
            </w:r>
            <w:r>
              <w:rPr>
                <w:b/>
                <w:bCs/>
                <w:color w:val="00274C"/>
                <w:position w:val="-2"/>
                <w:sz w:val="20"/>
                <w:szCs w:val="20"/>
                <w:u w:val="none"/>
              </w:rPr>
              <w:t xml:space="preserve">1</w:t>
            </w:r>
            <w:r>
              <w:rPr>
                <w:color w:val="00274C"/>
                <w:position w:val="-2"/>
                <w:sz w:val="20"/>
                <w:szCs w:val="20"/>
                <w:u w:val="none"/>
              </w:rPr>
              <w:t xml:space="preserve">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du réservoir à la pompe à injection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d'injection haute pression, de la pompe à injection aux injecteurs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bl>
          <w:p/>
        </w:tc>
        <w:tc>
          <w:tcPr>
            <w:tcMar>
              <w:top w:w="150" w:type="dxa"/>
              <w:left w:w="150" w:type="dxa"/>
              <w:bottom w:w="150" w:type="dxa"/>
              <w:right w:w="150" w:type="dxa"/>
            </w:tcMar>
            <w:textDirection w:val="lrTb"/>
            <w:vAlign w:val="top"/>
          </w:tcPr>
          <w:p>
            <w:r>
              <w:rPr>
                <w:position w:val="-378"/>
              </w:rPr>
              <w:drawing>
                <wp:inline distT="0" distB="0" distL="0" distR="0">
                  <wp:extent cx="2217600" cy="2426400"/>
                  <wp:effectExtent b="0" l="0" r="0" t="0"/>
                  <wp:docPr id="15737842" name="name66156229c777da094"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82856229c777da07a"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color w:val="00274C"/>
                <w:position w:val="-2"/>
                <w:sz w:val="20"/>
                <w:szCs w:val="20"/>
                <w:u w:val="none"/>
              </w:rPr>
              <w:br/>
              <w:t xml:space="preserve">Le circuit de retour de carburant est à basse pression.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d’évacuation du carburant des injecteurs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au réservoir</w:t>
                  </w:r>
                </w:p>
              </w:tc>
            </w:tr>
          </w:tbl>
          <w:p/>
        </w:tc>
        <w:tc>
          <w:tcPr>
            <w:tcMar>
              <w:top w:w="150" w:type="dxa"/>
              <w:left w:w="150" w:type="dxa"/>
              <w:bottom w:w="150" w:type="dxa"/>
              <w:right w:w="150" w:type="dxa"/>
            </w:tcMar>
            <w:textDirection w:val="lrTb"/>
            <w:vAlign w:val="top"/>
          </w:tcPr>
          <w:p>
            <w:r>
              <w:rPr>
                <w:position w:val="-310"/>
              </w:rPr>
              <w:drawing>
                <wp:inline distT="0" distB="0" distL="0" distR="0">
                  <wp:extent cx="2196000" cy="2001600"/>
                  <wp:effectExtent b="0" l="0" r="0" t="0"/>
                  <wp:docPr id="89266038" name="name64696229c777f323b"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35686229c777f3232"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Pompe à injection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pression à l'entrée de la pompe à injection doit être positive dans toutes les conditions de fonctionnement.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à injection est actionnée par l'engrenage de commande de la pompe et elle envoie le carburant à haute pression aux injecteurs.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En cas de fuite du circuit haute pression, ne pas intervenir avec le moteur en marche, mais l’éteindre et attendre 5 à 10 minutes avant de.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Levier de l'accélérateur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minimum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maximum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couple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de sortie du carburant en haute pression vers les injecteurs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d'évacuation du carburant vers le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d'aspiration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pour démarrage à froid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de l'anticipation des éléments de pompage (bloqué)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 d'identification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blocage de l'arbre de commande de la pompe.</w:t>
                  </w:r>
                </w:p>
              </w:tc>
            </w:tr>
          </w:tbl>
          <w:p/>
        </w:tc>
        <w:tc>
          <w:tcPr>
            <w:tcMar>
              <w:top w:w="150" w:type="dxa"/>
              <w:left w:w="150" w:type="dxa"/>
              <w:bottom w:w="150" w:type="dxa"/>
              <w:right w:w="150" w:type="dxa"/>
            </w:tcMar>
            <w:textDirection w:val="lrTb"/>
            <w:vAlign w:val="top"/>
          </w:tcPr>
          <w:p>
            <w:r>
              <w:rPr>
                <w:position w:val="-256"/>
              </w:rPr>
              <w:drawing>
                <wp:inline distT="0" distB="0" distL="0" distR="0">
                  <wp:extent cx="2491200" cy="1670400"/>
                  <wp:effectExtent b="0" l="0" r="0" t="0"/>
                  <wp:docPr id="59912137" name="name38236229c77821f79"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13926229c77821f75"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24728153" name="name67646229c77839a6c"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46786229c77839a67"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Injecteur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C'est le dispositif utilisé pour introduire le combustible, sous forme d'un ou plusieurs jets, adéquatement pulvérisés et opportunément orientés, directement dans la chambre de combustion. Ils sont constitués d'un corps métallique avec, à l'intérieur, un élément mobile qui agit sur l'aiguille: celle-ci, en se soulevant contre l'action d'un ressort taré, permet la sortie du combustible sous haute pression.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90949" name="name48116229c7784d2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146229c7784d2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Les injecteurs sont calibrés individuellement.</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La contamination du carburant provoque de graves dommages au système d'injection.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d'évacuation</w:t>
                  </w:r>
                </w:p>
              </w:tc>
            </w:tr>
          </w:tbl>
          <w:p/>
        </w:tc>
        <w:tc>
          <w:tcPr>
            <w:tcMar>
              <w:top w:w="150" w:type="dxa"/>
              <w:left w:w="150" w:type="dxa"/>
              <w:bottom w:w="150" w:type="dxa"/>
              <w:right w:w="150" w:type="dxa"/>
            </w:tcMar>
            <w:textDirection w:val="lrTb"/>
            <w:vAlign w:val="top"/>
          </w:tcPr>
          <w:p>
            <w:r>
              <w:rPr>
                <w:position w:val="-390"/>
              </w:rPr>
              <w:drawing>
                <wp:inline distT="0" distB="0" distL="0" distR="0">
                  <wp:extent cx="1807200" cy="2505600"/>
                  <wp:effectExtent b="0" l="0" r="0" t="0"/>
                  <wp:docPr id="5513516" name="name51776229c7786883b"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12826229c77868836"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Filtre à carburant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filtre à carburant est monté sur le carter du moteur ou bien il est fourni avec le moteur pour être monté sur le châssis de la machine.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cartouche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de sortie de l'eau</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w:t>
            </w:r>
            <w:r>
              <w:rPr>
                <w:i/>
                <w:iCs/>
                <w:color w:val="00274C"/>
                <w:position w:val="-2"/>
                <w:sz w:val="20"/>
                <w:szCs w:val="20"/>
                <w:u w:val="none"/>
              </w:rPr>
              <w:t xml:space="preserve">Caractéristiques de la cartouche.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Bars</w:t>
                  </w:r>
                </w:p>
              </w:tc>
            </w:tr>
          </w:tbl>
          <w:p/>
        </w:tc>
        <w:tc>
          <w:tcPr>
            <w:tcMar>
              <w:top w:w="150" w:type="dxa"/>
              <w:left w:w="150" w:type="dxa"/>
              <w:bottom w:w="150" w:type="dxa"/>
              <w:right w:w="150" w:type="dxa"/>
            </w:tcMar>
            <w:textDirection w:val="lrTb"/>
            <w:vAlign w:val="top"/>
          </w:tcPr>
          <w:p>
            <w:r>
              <w:rPr>
                <w:position w:val="-456"/>
              </w:rPr>
              <w:drawing>
                <wp:inline distT="0" distB="0" distL="0" distR="0">
                  <wp:extent cx="2102400" cy="2916000"/>
                  <wp:effectExtent b="0" l="0" r="0" t="0"/>
                  <wp:docPr id="69021380" name="name30666229c778852b3"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34166229c778852af"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Pompe électrique carburant (option)</w:t>
            </w:r>
            <w:r>
              <w:rPr>
                <w:color w:val="00274C"/>
                <w:position w:val="-2"/>
                <w:sz w:val="20"/>
                <w:szCs w:val="20"/>
                <w:u w:val="none"/>
              </w:rPr>
              <w:br/>
              <w:t xml:space="preserve">Lors de l'installation de la pompe carburant électrique dans un moteur diesel, il faut:</w:t>
            </w:r>
          </w:p>
          <w:p>
            <w:pPr>
              <w:numPr>
                <w:ilvl w:val="0"/>
                <w:numId w:val="8232"/>
              </w:numPr>
              <w:spacing w:before="0" w:after="0" w:line="262" w:lineRule="auto"/>
              <w:jc w:val="left"/>
              <w:rPr>
                <w:color w:val="00274C"/>
                <w:sz w:val="20"/>
                <w:szCs w:val="20"/>
              </w:rPr>
            </w:pPr>
            <w:r>
              <w:rPr>
                <w:color w:val="00274C"/>
                <w:position w:val="-2"/>
                <w:sz w:val="20"/>
                <w:szCs w:val="20"/>
                <w:u w:val="none"/>
              </w:rPr>
              <w:t xml:space="preserve">Retirer d'éventuels filtres montés à l'entrée de la pompe carburant électrique;</w:t>
            </w:r>
          </w:p>
          <w:p>
            <w:pPr>
              <w:numPr>
                <w:ilvl w:val="0"/>
                <w:numId w:val="8232"/>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8232"/>
              </w:numPr>
              <w:spacing w:before="0" w:after="0" w:line="262" w:lineRule="auto"/>
              <w:jc w:val="left"/>
              <w:rPr>
                <w:color w:val="00274C"/>
                <w:sz w:val="20"/>
                <w:szCs w:val="20"/>
              </w:rPr>
            </w:pPr>
            <w:r>
              <w:rPr>
                <w:color w:val="00274C"/>
                <w:position w:val="-2"/>
                <w:sz w:val="20"/>
                <w:szCs w:val="20"/>
                <w:u w:val="none"/>
              </w:rPr>
              <w:t xml:space="preserve">La pompe électrique doit être montée sur l'application à une certaine hauteur du niveau minimum du réservoir afin de générer une chute de pression </w:t>
            </w:r>
            <w:r>
              <w:rPr>
                <w:b/>
                <w:bCs/>
                <w:color w:val="00274C"/>
                <w:position w:val="-2"/>
                <w:sz w:val="20"/>
                <w:szCs w:val="20"/>
                <w:u w:val="none"/>
              </w:rPr>
              <w:t xml:space="preserve">MAX</w:t>
            </w:r>
            <w:r>
              <w:rPr>
                <w:color w:val="00274C"/>
                <w:position w:val="-2"/>
                <w:sz w:val="20"/>
                <w:szCs w:val="20"/>
                <w:u w:val="none"/>
              </w:rPr>
              <w:t xml:space="preserve"> . égale à une colonne de 500 mm de carburant</w:t>
            </w:r>
          </w:p>
          <w:p>
            <w:pPr>
              <w:numPr>
                <w:ilvl w:val="0"/>
                <w:numId w:val="8232"/>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d'aspiration.</w:t>
            </w:r>
          </w:p>
          <w:p>
            <w:pPr>
              <w:numPr>
                <w:ilvl w:val="0"/>
                <w:numId w:val="8232"/>
              </w:numPr>
              <w:spacing w:before="0" w:after="0" w:line="262" w:lineRule="auto"/>
              <w:jc w:val="left"/>
              <w:rPr>
                <w:color w:val="00274C"/>
                <w:sz w:val="20"/>
                <w:szCs w:val="20"/>
              </w:rPr>
            </w:pPr>
            <w:r>
              <w:rPr>
                <w:color w:val="00274C"/>
                <w:position w:val="-2"/>
                <w:sz w:val="20"/>
                <w:szCs w:val="20"/>
                <w:u w:val="none"/>
              </w:rPr>
              <w:t xml:space="preserve">La pompe électrique doit garantir une pression d'alimentation à l'entrée positive dans toutes les conditions de fonctionnement.</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pré-filtre à la pompe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14"/>
              </w:rPr>
              <w:drawing>
                <wp:inline distT="0" distB="0" distL="0" distR="0">
                  <wp:extent cx="2116800" cy="1404000"/>
                  <wp:effectExtent b="0" l="0" r="0" t="0"/>
                  <wp:docPr id="6040353" name="name20996229c778a2e29"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23726229c778a2e24"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14536229c778a3c8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2.11 et 2.12</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57146229c778a43f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541204" name="name27006229c778b7d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076229c778b7d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Mar>
              <w:top w:w="150" w:type="dxa"/>
              <w:left w:w="150" w:type="dxa"/>
              <w:bottom w:w="150" w:type="dxa"/>
              <w:right w:w="150" w:type="dxa"/>
            </w:tcMar>
            <w:textDirection w:val="lrTb"/>
            <w:vAlign w:val="top"/>
          </w:tcPr>
          <w:p>
            <w:r>
              <w:rPr>
                <w:position w:val="-234"/>
              </w:rPr>
              <w:drawing>
                <wp:inline distT="0" distB="0" distL="0" distR="0">
                  <wp:extent cx="2289600" cy="1533600"/>
                  <wp:effectExtent b="0" l="0" r="0" t="0"/>
                  <wp:docPr id="50939197" name="name93626229c778cf86a"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61666229c778cf84f"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15024384" name="name42776229c778e7a91"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11756229c778e7a8d"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Schéma du circuit de lubrification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pompe à huile est actionnée par le vilebrequin du côté de la distribution.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Dans les passages de couleur verte, l'huile est en admission, dans ceux de couleur rouge, l'huile est sous pression et dans ceux de couleur jaune, l'huile est de retour vers le carter de l'huile 2 (pas sous pression).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Mar>
              <w:top w:w="150" w:type="dxa"/>
              <w:left w:w="150" w:type="dxa"/>
              <w:bottom w:w="150" w:type="dxa"/>
              <w:right w:w="150" w:type="dxa"/>
            </w:tcMar>
            <w:textDirection w:val="lrTb"/>
            <w:vAlign w:val="top"/>
          </w:tcPr>
          <w:p>
            <w:r>
              <w:rPr>
                <w:position w:val="-428"/>
              </w:rPr>
              <w:drawing>
                <wp:inline distT="0" distB="0" distL="0" distR="0">
                  <wp:extent cx="2678400" cy="2743200"/>
                  <wp:effectExtent b="0" l="0" r="0" t="0"/>
                  <wp:docPr id="41183371" name="name36276229c7791629c"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32116229c779161c9"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50904676" name="name55346229c7793c3d0"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69276229c7793c3c7"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7986229c7793d55d"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Pompe à huile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rotors de la pompe à huile sont de type trochoïde (à lobes) et sont actionnés par le vilebrequin à travers une clavette.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tc>
        <w:tc>
          <w:tcPr>
            <w:tcMar>
              <w:top w:w="150" w:type="dxa"/>
              <w:left w:w="150" w:type="dxa"/>
              <w:bottom w:w="150" w:type="dxa"/>
              <w:right w:w="150" w:type="dxa"/>
            </w:tcMar>
            <w:textDirection w:val="lrTb"/>
            <w:vAlign w:val="top"/>
          </w:tcPr>
          <w:p>
            <w:r>
              <w:rPr>
                <w:position w:val="-816"/>
              </w:rPr>
              <w:drawing>
                <wp:inline distT="0" distB="0" distL="0" distR="0">
                  <wp:extent cx="1951200" cy="5148000"/>
                  <wp:effectExtent b="0" l="0" r="0" t="0"/>
                  <wp:docPr id="54539806" name="name79006229c7797903e"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31836229c77979035"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Filtre à huile</w:t>
            </w:r>
          </w:p>
          <w:p/>
          <w:p/>
          <w:p>
            <w:pPr>
              <w:widowControl w:val="on"/>
              <w:pBdr/>
              <w:spacing w:before="0" w:after="0" w:line="262" w:lineRule="auto"/>
              <w:ind w:left="0" w:right="0"/>
              <w:jc w:val="left"/>
              <w:textDirection w:val="lrTb"/>
              <w:textAlignment w:val="center"/>
            </w:pPr>
            <w:r>
              <w:rPr>
                <w:position w:val="-192"/>
              </w:rPr>
              <w:drawing>
                <wp:inline distT="0" distB="0" distL="0" distR="0">
                  <wp:extent cx="3758400" cy="2469600"/>
                  <wp:effectExtent b="0" l="0" r="0" t="0"/>
                  <wp:docPr id="7746505" name="name80216229c77998d19"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19656229c77998d12"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Élément filtrant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Clapet de sûreté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Demi-carter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entrée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sortie (envoyée dans le circuit)</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réfrigérant</w:t>
      </w:r>
    </w:p>
    <w:p>
      <w:pPr>
        <w:widowControl w:val="on"/>
        <w:pBdr/>
        <w:spacing w:before="0" w:after="0" w:line="262" w:lineRule="auto"/>
        <w:ind w:left="0" w:right="0"/>
        <w:jc w:val="left"/>
        <w:textDirection w:val="lrTb"/>
      </w:pPr>
      <w:r>
        <w:rPr>
          <w:b/>
          <w:bCs/>
          <w:color w:val="00274C"/>
          <w:sz w:val="20"/>
          <w:szCs w:val="20"/>
          <w:u w:val="none"/>
        </w:rPr>
        <w:t xml:space="preserve">2.11.1 Schéma du 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
                <w:p/>
                <w:p/>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aspiration</w:t>
                  </w:r>
                </w:p>
              </w:tc>
            </w:tr>
          </w:tbl>
          <w:p/>
        </w:tc>
        <w:tc>
          <w:tcPr>
            <w:tcMar>
              <w:top w:w="150" w:type="dxa"/>
              <w:left w:w="150" w:type="dxa"/>
              <w:bottom w:w="150" w:type="dxa"/>
              <w:right w:w="150" w:type="dxa"/>
            </w:tcMar>
            <w:textDirection w:val="lrTb"/>
            <w:vAlign w:val="top"/>
          </w:tcPr>
          <w:p>
            <w:r>
              <w:rPr>
                <w:position w:val="-388"/>
              </w:rPr>
              <w:drawing>
                <wp:inline distT="0" distB="0" distL="0" distR="0">
                  <wp:extent cx="2354400" cy="2484000"/>
                  <wp:effectExtent b="0" l="0" r="0" t="0"/>
                  <wp:docPr id="12931965" name="name92146229c779c5e25"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80366229c779c5e02"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2.11.2 Pompe réfrigérant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bl>
          <w:p/>
          <w:p/>
          <w:p/>
          <w:p/>
          <w:p/>
        </w:tc>
        <w:tc>
          <w:tcPr>
            <w:tcMar>
              <w:top w:w="150" w:type="dxa"/>
              <w:left w:w="150" w:type="dxa"/>
              <w:bottom w:w="150" w:type="dxa"/>
              <w:right w:w="150" w:type="dxa"/>
            </w:tcMar>
            <w:textDirection w:val="lrTb"/>
            <w:vAlign w:val="top"/>
          </w:tcPr>
          <w:p>
            <w:r>
              <w:rPr>
                <w:position w:val="-264"/>
              </w:rPr>
              <w:drawing>
                <wp:inline distT="0" distB="0" distL="0" distR="0">
                  <wp:extent cx="2541600" cy="1713600"/>
                  <wp:effectExtent b="0" l="0" r="0" t="0"/>
                  <wp:docPr id="85237048" name="name62396229c779e8b01"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37066229c779e8afb"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2.11.3 Soupape thermostatique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Température de début d'ouverture 79°C ± 2°C.</w:t>
            </w:r>
          </w:p>
        </w:tc>
        <w:tc>
          <w:tcPr>
            <w:tcMar>
              <w:top w:w="150" w:type="dxa"/>
              <w:left w:w="150" w:type="dxa"/>
              <w:bottom w:w="150" w:type="dxa"/>
              <w:right w:w="150" w:type="dxa"/>
            </w:tcMar>
            <w:textDirection w:val="lrTb"/>
            <w:vAlign w:val="top"/>
          </w:tcPr>
          <w:p>
            <w:r>
              <w:rPr>
                <w:position w:val="-264"/>
              </w:rPr>
              <w:drawing>
                <wp:inline distT="0" distB="0" distL="0" distR="0">
                  <wp:extent cx="2606400" cy="1713600"/>
                  <wp:effectExtent b="0" l="0" r="0" t="0"/>
                  <wp:docPr id="99005549" name="name69916229c77a17ab6"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38826229c77a17aa7"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Radiateur (option)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Composant non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du réfrigérant en excès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d'aspiration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Ventilateur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Grille de protection</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62"/>
              </w:rPr>
              <w:drawing>
                <wp:inline distT="0" distB="0" distL="0" distR="0">
                  <wp:extent cx="2534400" cy="1706400"/>
                  <wp:effectExtent b="0" l="0" r="0" t="0"/>
                  <wp:docPr id="29412778" name="name94376229c77a3cb0d"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47796229c77a3cb04"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Direction w:val="lrTb"/>
              <w:textAlignment w:val="top"/>
            </w:pPr>
            <w:r>
              <w:rPr>
                <w:position w:val="-260"/>
              </w:rPr>
              <w:drawing>
                <wp:inline distT="0" distB="0" distL="0" distR="0">
                  <wp:extent cx="2476800" cy="1692000"/>
                  <wp:effectExtent b="0" l="0" r="0" t="0"/>
                  <wp:docPr id="54986325" name="name39026229c77a5e023"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64126229c77a5e00c"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80"/>
              </w:rPr>
              <w:drawing>
                <wp:inline distT="0" distB="0" distL="0" distR="0">
                  <wp:extent cx="3729600" cy="2318400"/>
                  <wp:effectExtent b="0" l="0" r="0" t="0"/>
                  <wp:docPr id="68151760" name="name16656229c77a77741"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82726229c77a7773c"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94496790" name="name16406229c77a93e24"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75686229c77a93e20"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765991" name="name81026229c77aa67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756229c77aa67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L'air filtré est aspiré à travers le collecteur d'admission, puis, à travers les conduits de la culasse du moteur, il pénètre à l'intérieur des cylindres. Dans les cylindres, l'air comprimé est mélangé avec le carburant et, après la combustion, se transforme en gaz. Le gaz est expulsé par les cylindres et envoyé au collecteur d'échappement, qui évacue les gaz vers le pot d'échappement.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pot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 d'échappement (option)</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Filtre à air (option)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95350" name="name75936229c77abfa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896229c77abfa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p>
          <w:p>
            <w:pPr>
              <w:numPr>
                <w:ilvl w:val="0"/>
                <w:numId w:val="8230"/>
              </w:numPr>
              <w:spacing w:before="0" w:after="0" w:line="262" w:lineRule="auto"/>
              <w:jc w:val="left"/>
              <w:rPr>
                <w:color w:val="00274C"/>
                <w:sz w:val="20"/>
                <w:szCs w:val="20"/>
              </w:rPr>
            </w:pPr>
            <w:r>
              <w:rPr>
                <w:color w:val="00274C"/>
                <w:position w:val="-2"/>
                <w:sz w:val="20"/>
                <w:szCs w:val="20"/>
                <w:u w:val="none"/>
              </w:rPr>
              <w:t xml:space="preserve">Le filtre à air est du type à sec avec cartouche filtrante en papier </w:t>
            </w:r>
            <w:r>
              <w:rPr>
                <w:b/>
                <w:bCs/>
                <w:color w:val="00274C"/>
                <w:position w:val="-2"/>
                <w:sz w:val="20"/>
                <w:szCs w:val="20"/>
                <w:u w:val="none"/>
              </w:rPr>
              <w:t xml:space="preserve">H</w:t>
            </w:r>
            <w:r>
              <w:rPr>
                <w:color w:val="00274C"/>
                <w:position w:val="-2"/>
                <w:sz w:val="20"/>
                <w:szCs w:val="20"/>
                <w:u w:val="none"/>
              </w:rPr>
              <w:t xml:space="preserve"> rechargeable (voir le </w:t>
            </w:r>
            <w:r>
              <w:rPr>
                <w:b/>
                <w:bCs/>
                <w:color w:val="00274C"/>
                <w:position w:val="-2"/>
                <w:sz w:val="20"/>
                <w:szCs w:val="20"/>
                <w:u w:val="none"/>
              </w:rPr>
              <w:t xml:space="preserve">Tab. 2.8 et le Tab. 2.9</w:t>
            </w:r>
            <w:r>
              <w:rPr>
                <w:color w:val="00274C"/>
                <w:position w:val="-2"/>
                <w:sz w:val="20"/>
                <w:szCs w:val="20"/>
                <w:u w:val="none"/>
              </w:rPr>
              <w:t xml:space="preserve"> pour la fréquence d’intervention sur les composants).</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w:t>
            </w:r>
            <w:r>
              <w:rPr>
                <w:b/>
                <w:bCs/>
                <w:color w:val="00274C"/>
                <w:position w:val="-2"/>
                <w:sz w:val="20"/>
                <w:szCs w:val="20"/>
                <w:u w:val="none"/>
              </w:rPr>
              <w:t xml:space="preserve">400 mm</w:t>
            </w:r>
            <w:r>
              <w:rPr>
                <w:color w:val="00274C"/>
                <w:position w:val="-2"/>
                <w:sz w:val="20"/>
                <w:szCs w:val="20"/>
                <w:u w:val="none"/>
              </w:rPr>
              <w:t xml:space="preserve"> et il doit être aussi rectiligne que possible.</w:t>
            </w:r>
          </w:p>
          <w:p>
            <w:pPr>
              <w:widowControl w:val="on"/>
              <w:pBdr/>
              <w:spacing w:before="0" w:after="0" w:line="262" w:lineRule="auto"/>
              <w:ind w:left="0" w:right="0"/>
              <w:jc w:val="left"/>
              <w:textDirection w:val="lrTb"/>
              <w:textAlignment w:val="center"/>
            </w:pPr>
            <w:r>
              <w:rPr>
                <w:position w:val="-107"/>
              </w:rPr>
              <w:drawing>
                <wp:inline distT="0" distB="0" distL="0" distR="0">
                  <wp:extent cx="3412800" cy="1404000"/>
                  <wp:effectExtent b="0" l="0" r="0" t="0"/>
                  <wp:docPr id="64780245" name="name32186229c77ad767b"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75466229c77ad7665"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2.24</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électrique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Câblage électrique moteur (option)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câblage électrique est fourni sur demande, il est connecté au tableau par des connecteurs Deutsch à 19 voies (femelle sur le tableau du moteur - mâle sur le tableau des accessoires).</w:t>
                  </w:r>
                  <w:r>
                    <w:rPr>
                      <w:color w:val="00274C"/>
                      <w:position w:val="-2"/>
                      <w:sz w:val="20"/>
                      <w:szCs w:val="20"/>
                      <w:u w:val="none"/>
                    </w:rPr>
                    <w:br/>
                    <w:br/>
                    <w:t xml:space="preserve">Le </w:t>
                  </w:r>
                  <w:r>
                    <w:rPr>
                      <w:b/>
                      <w:bCs/>
                      <w:color w:val="00274C"/>
                      <w:position w:val="-2"/>
                      <w:sz w:val="20"/>
                      <w:szCs w:val="20"/>
                      <w:u w:val="none"/>
                    </w:rPr>
                    <w:t xml:space="preserve">Tab. 2.30</w:t>
                  </w:r>
                  <w:r>
                    <w:rPr>
                      <w:color w:val="00274C"/>
                      <w:position w:val="-2"/>
                      <w:sz w:val="20"/>
                      <w:szCs w:val="20"/>
                      <w:u w:val="none"/>
                    </w:rPr>
                    <w:t xml:space="preserve">  décrit les connecteurs.</w:t>
                  </w:r>
                </w:p>
                <w:p>
                  <w:pPr>
                    <w:widowControl w:val="on"/>
                    <w:pBdr/>
                    <w:spacing w:before="0" w:after="0" w:line="262" w:lineRule="auto"/>
                    <w:ind w:left="0" w:right="0"/>
                    <w:jc w:val="left"/>
                    <w:textDirection w:val="lrTb"/>
                    <w:textAlignment w:val="center"/>
                  </w:pPr>
                  <w:r>
                    <w:rPr>
                      <w:position w:val="-177"/>
                    </w:rPr>
                    <w:drawing>
                      <wp:inline distT="0" distB="0" distL="0" distR="0">
                        <wp:extent cx="3700800" cy="2275200"/>
                        <wp:effectExtent b="0" l="0" r="0" t="0"/>
                        <wp:docPr id="51217937" name="name89436229c77b03e38"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67236229c77b03e2e"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br/>
                    <w:br/>
                    <w:br/>
                    <w:br/>
                    <w:br/>
                    <w:t xml:space="preserve">Fig 2.25</w:t>
                  </w:r>
                </w:p>
                <w:p/>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Connecteur d'interface avec le tableau du moteur </w:t>
                        </w:r>
                        <w:r>
                          <w:rPr>
                            <w:b/>
                            <w:bCs/>
                            <w:color w:val="00274C"/>
                            <w:position w:val="-2"/>
                            <w:sz w:val="20"/>
                            <w:szCs w:val="20"/>
                            <w:u w:val="none"/>
                            <w:shd w:val="clear" w:color="auto" w:fill="E1E2E0"/>
                          </w:rPr>
                          <w:t xml:space="preserve">(Fig. 2.26a)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avec le tableau des accessoires </w:t>
                        </w:r>
                        <w:r>
                          <w:rPr>
                            <w:b/>
                            <w:bCs/>
                            <w:color w:val="00274C"/>
                            <w:position w:val="-2"/>
                            <w:sz w:val="20"/>
                            <w:szCs w:val="20"/>
                            <w:u w:val="none"/>
                            <w:shd w:val="clear" w:color="auto" w:fill="E1E2E0"/>
                          </w:rPr>
                          <w:t xml:space="preserve">(Fig. 2.26b)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pompe électrique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Cold Start Advance (sur pompe à injection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fusible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Contrôle Elettro-Stop (sur pompe à injection)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 L »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alternateur « W »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sans « W »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avec « W »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+ 50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+ 30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d'obstruction du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masse</w:t>
                        </w:r>
                      </w:p>
                    </w:tc>
                  </w:tr>
                </w:tbl>
                <w:p/>
              </w:tc>
            </w:tr>
          </w:tbl>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2.13.1.1 Connecteur du tableau de bord moteur/machine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connecteur est du type Deutsch à 19 voies femelle. </w:t>
            </w:r>
            <w:r>
              <w:rPr>
                <w:b/>
                <w:bCs/>
                <w:color w:val="00274C"/>
                <w:position w:val="-2"/>
                <w:sz w:val="20"/>
                <w:szCs w:val="20"/>
                <w:u w:val="none"/>
              </w:rPr>
              <w:t xml:space="preserve">Le Tab. 2.31</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Direction w:val="lrTb"/>
              <w:textAlignment w:val="center"/>
            </w:pPr>
            <w:r>
              <w:rPr>
                <w:position w:val="-210"/>
              </w:rPr>
              <w:drawing>
                <wp:inline distT="0" distB="0" distL="0" distR="0">
                  <wp:extent cx="2692800" cy="2692800"/>
                  <wp:effectExtent b="0" l="0" r="0" t="0"/>
                  <wp:docPr id="15741506" name="name73896229c77b2ea8a"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26226229c77b2ea84"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2.26a</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l'alternateur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d'obstruction du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IG excitation (+ 15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2.13.1.2 Connecteur du tableau des accessoires</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 connecteur est du type Deutsch à 19 voies mâle. Le </w:t>
            </w:r>
            <w:r>
              <w:rPr>
                <w:b/>
                <w:bCs/>
                <w:color w:val="00274C"/>
                <w:position w:val="-2"/>
                <w:sz w:val="20"/>
                <w:szCs w:val="20"/>
                <w:u w:val="none"/>
              </w:rPr>
              <w:t xml:space="preserve">Tab. 2.32</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Direction w:val="lrTb"/>
              <w:textAlignment w:val="center"/>
            </w:pPr>
            <w:r>
              <w:rPr>
                <w:position w:val="-204"/>
              </w:rPr>
              <w:drawing>
                <wp:inline distT="0" distB="0" distL="0" distR="0">
                  <wp:extent cx="2613600" cy="2613600"/>
                  <wp:effectExtent b="0" l="0" r="0" t="0"/>
                  <wp:docPr id="37055680" name="name91006229c77b509b8"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23486229c77b509b3"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2.26b</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b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carburant (capteur de présence d'eau)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(capteur de niveau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externe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 (capteur de niveau carburant)</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avec fusible 5 A (+ 15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2.13.1.3 Débranchement du câblage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Certains connecteurs des capteurs et des dispositifs à commande électronique sont étanches.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type de  connecteurs doivent être débranchés en exerçant une pression sur les languettes A ou en débloquant les arrêts B, comme illustré de la  </w:t>
            </w:r>
            <w:r>
              <w:rPr>
                <w:b/>
                <w:bCs/>
                <w:color w:val="00274C"/>
                <w:position w:val="-2"/>
                <w:sz w:val="20"/>
                <w:szCs w:val="20"/>
                <w:u w:val="none"/>
              </w:rPr>
              <w:t xml:space="preserve">Fig. 2.26c</w:t>
            </w:r>
            <w:r>
              <w:rPr>
                <w:color w:val="00274C"/>
                <w:position w:val="-2"/>
                <w:sz w:val="20"/>
                <w:szCs w:val="20"/>
                <w:u w:val="none"/>
              </w:rPr>
              <w:t xml:space="preserve"> a </w:t>
            </w:r>
            <w:r>
              <w:rPr>
                <w:b/>
                <w:bCs/>
                <w:color w:val="00274C"/>
                <w:position w:val="-2"/>
                <w:sz w:val="20"/>
                <w:szCs w:val="20"/>
                <w:u w:val="none"/>
              </w:rPr>
              <w:t xml:space="preserve">Fig. 2.26g.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72"/>
              </w:rPr>
              <w:drawing>
                <wp:inline distT="0" distB="0" distL="0" distR="0">
                  <wp:extent cx="2620800" cy="1764000"/>
                  <wp:effectExtent b="0" l="0" r="0" t="0"/>
                  <wp:docPr id="21263441" name="name84796229c77b8076c"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26846229c77b80765"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Mar>
              <w:top w:w="150" w:type="dxa"/>
              <w:left w:w="150" w:type="dxa"/>
              <w:bottom w:w="150" w:type="dxa"/>
              <w:right w:w="150" w:type="dxa"/>
            </w:tcMar>
            <w:textDirection w:val="lrTb"/>
            <w:vAlign w:val="center"/>
          </w:tcPr>
          <w:p>
            <w:r>
              <w:rPr>
                <w:position w:val="-138"/>
              </w:rPr>
              <w:drawing>
                <wp:inline distT="0" distB="0" distL="0" distR="0">
                  <wp:extent cx="2664000" cy="1792800"/>
                  <wp:effectExtent b="0" l="0" r="0" t="0"/>
                  <wp:docPr id="19279659" name="name18856229c77ba283b"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87796229c77ba2819"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Mar>
              <w:top w:w="150" w:type="dxa"/>
              <w:left w:w="150" w:type="dxa"/>
              <w:bottom w:w="150" w:type="dxa"/>
              <w:right w:w="150" w:type="dxa"/>
            </w:tcMar>
            <w:textDirection w:val="lrTb"/>
            <w:vAlign w:val="top"/>
          </w:tcPr>
          <w:p>
            <w:r>
              <w:rPr>
                <w:position w:val="-272"/>
              </w:rPr>
              <w:drawing>
                <wp:inline distT="0" distB="0" distL="0" distR="0">
                  <wp:extent cx="2635200" cy="1771200"/>
                  <wp:effectExtent b="0" l="0" r="0" t="0"/>
                  <wp:docPr id="85815368" name="name88826229c77bc3025"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24226229c77bc2ff5"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Mar>
              <w:top w:w="150" w:type="dxa"/>
              <w:left w:w="150" w:type="dxa"/>
              <w:bottom w:w="150" w:type="dxa"/>
              <w:right w:w="150" w:type="dxa"/>
            </w:tcMar>
            <w:textDirection w:val="lrTb"/>
            <w:vAlign w:val="center"/>
          </w:tcPr>
          <w:p>
            <w:r>
              <w:rPr>
                <w:position w:val="-134"/>
              </w:rPr>
              <w:drawing>
                <wp:inline distT="0" distB="0" distL="0" distR="0">
                  <wp:extent cx="2592000" cy="1742400"/>
                  <wp:effectExtent b="0" l="0" r="0" t="0"/>
                  <wp:docPr id="40189799" name="name17996229c77be1ac2"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34826229c77be1abc"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Mar>
              <w:top w:w="150" w:type="dxa"/>
              <w:left w:w="150" w:type="dxa"/>
              <w:bottom w:w="150" w:type="dxa"/>
              <w:right w:w="150" w:type="dxa"/>
            </w:tcMar>
            <w:textDirection w:val="lrTb"/>
            <w:vAlign w:val="top"/>
          </w:tcPr>
          <w:p>
            <w:r>
              <w:rPr>
                <w:position w:val="-264"/>
              </w:rPr>
              <w:drawing>
                <wp:inline distT="0" distB="0" distL="0" distR="0">
                  <wp:extent cx="2548800" cy="1713600"/>
                  <wp:effectExtent b="0" l="0" r="0" t="0"/>
                  <wp:docPr id="62132809" name="name98026229c77c0e43a"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27186229c77c0e415"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Capteurs et interrupteurs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Détecteur de présence d’eau dans le filtre carburant</w:t>
            </w:r>
            <w:r>
              <w:rPr>
                <w:color w:val="00274C"/>
                <w:position w:val="-2"/>
                <w:sz w:val="20"/>
                <w:szCs w:val="20"/>
                <w:u w:val="none"/>
              </w:rPr>
              <w:t xml:space="preserve"> </w:t>
            </w:r>
            <w:r>
              <w:rPr>
                <w:b/>
                <w:bCs/>
                <w:color w:val="00274C"/>
                <w:position w:val="-2"/>
                <w:sz w:val="20"/>
                <w:szCs w:val="20"/>
                <w:u w:val="none"/>
              </w:rPr>
              <w:t xml:space="preserve">(option)</w:t>
            </w:r>
            <w:r>
              <w:rPr>
                <w:color w:val="00274C"/>
                <w:position w:val="-2"/>
                <w:sz w:val="20"/>
                <w:szCs w:val="20"/>
                <w:u w:val="none"/>
              </w:rPr>
              <w:br/>
              <w:br/>
              <w:t xml:space="preserve">Le capteur de présence d’eau dans le filtre carburant sert à signaler la présence d’eau dans le carburant.</w:t>
            </w:r>
            <w:r>
              <w:rPr>
                <w:color w:val="00274C"/>
                <w:position w:val="-2"/>
                <w:sz w:val="20"/>
                <w:szCs w:val="20"/>
                <w:u w:val="none"/>
              </w:rPr>
              <w:br/>
              <w:br/>
              <w:t xml:space="preserve">Le capteur ferme le circuit à la masse en allumant la lampe témoin sur le tableau de bord de la machine où le moteur est monté.</w:t>
            </w:r>
            <w:r>
              <w:rPr>
                <w:color w:val="00274C"/>
                <w:position w:val="-2"/>
                <w:sz w:val="20"/>
                <w:szCs w:val="20"/>
                <w:u w:val="none"/>
              </w:rPr>
              <w:br/>
              <w:br/>
              <w:t xml:space="preserve">L’eau, éventuellement présente dans le carburant, se sépare et se dépose, à cause de son poids spécifique plus important, dans la partie la plus basse du filtre où il y a le bouchon de drainage de l’eau.</w:t>
            </w:r>
            <w:r>
              <w:rPr>
                <w:color w:val="00274C"/>
                <w:position w:val="-2"/>
                <w:sz w:val="20"/>
                <w:szCs w:val="20"/>
                <w:u w:val="none"/>
              </w:rPr>
              <w:br/>
              <w:br/>
              <w:t xml:space="preserve">Dévisser légèrement le bouchon de drainage sans le démonter; faire sortir l’eau s’il y en a.</w:t>
            </w:r>
            <w:r>
              <w:rPr>
                <w:color w:val="00274C"/>
                <w:position w:val="-2"/>
                <w:sz w:val="20"/>
                <w:szCs w:val="20"/>
                <w:u w:val="none"/>
              </w:rPr>
              <w:br/>
              <w:br/>
              <w:t xml:space="preserve">Revisser le bouchon de drainage de l’eau </w:t>
            </w:r>
            <w:r>
              <w:rPr>
                <w:b/>
                <w:bCs/>
                <w:color w:val="00274C"/>
                <w:position w:val="-2"/>
                <w:sz w:val="20"/>
                <w:szCs w:val="20"/>
                <w:u w:val="none"/>
              </w:rPr>
              <w:t xml:space="preserve">H</w:t>
            </w:r>
            <w:r>
              <w:rPr>
                <w:color w:val="00274C"/>
                <w:position w:val="-2"/>
                <w:sz w:val="20"/>
                <w:szCs w:val="20"/>
                <w:u w:val="none"/>
              </w:rPr>
              <w:t xml:space="preserve"> , dès que le carburant s’écoule au dehors.</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55719163" name="name43056229c77c2bc61"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50856229c77c2bc5c"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34481451" name="name89746229c77c4cd0a"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41436229c77c4cd05"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w:t>
            </w:r>
            <w:r>
              <w:rPr>
                <w:color w:val="00274C"/>
                <w:position w:val="-2"/>
                <w:sz w:val="20"/>
                <w:szCs w:val="20"/>
                <w:u w:val="none"/>
              </w:rPr>
              <w:t xml:space="preserve"> </w:t>
            </w:r>
            <w:r>
              <w:rPr>
                <w:b/>
                <w:bCs/>
                <w:color w:val="00274C"/>
                <w:position w:val="-2"/>
                <w:sz w:val="20"/>
                <w:szCs w:val="20"/>
                <w:u w:val="none"/>
              </w:rPr>
              <w:t xml:space="preserve">Capteur de température du réfrigérant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a la double fonction de thermomètre et de thermocontact.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température du réfrigérant/thermocontact </w:t>
            </w:r>
            <w:r>
              <w:rPr>
                <w:b/>
                <w:bCs/>
                <w:color w:val="00274C"/>
                <w:position w:val="-2"/>
                <w:sz w:val="20"/>
                <w:szCs w:val="20"/>
                <w:u w:val="none"/>
              </w:rPr>
              <w:t xml:space="preserve">P</w:t>
            </w:r>
            <w:r>
              <w:rPr>
                <w:color w:val="00274C"/>
                <w:position w:val="-2"/>
                <w:sz w:val="20"/>
                <w:szCs w:val="20"/>
                <w:u w:val="none"/>
              </w:rPr>
              <w:t xml:space="preserve"> est fixé sur la culasse du moteur du côté de la vanne thermostatique.</w:t>
            </w:r>
            <w:r>
              <w:rPr>
                <w:color w:val="00274C"/>
                <w:position w:val="-2"/>
                <w:sz w:val="20"/>
                <w:szCs w:val="20"/>
                <w:u w:val="none"/>
              </w:rPr>
              <w:br/>
              <w:t xml:space="preserve">Sur le moteur, le capteur P1 ou P2 peut être monté </w:t>
            </w:r>
            <w:r>
              <w:rPr>
                <w:b/>
                <w:bCs/>
                <w:color w:val="00274C"/>
                <w:position w:val="-2"/>
                <w:sz w:val="20"/>
                <w:szCs w:val="20"/>
                <w:u w:val="none"/>
              </w:rPr>
              <w:t xml:space="preserve">(Fig. 2.29):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P1</w:t>
            </w:r>
            <w:r>
              <w:rPr>
                <w:color w:val="00274C"/>
                <w:position w:val="-2"/>
                <w:sz w:val="20"/>
                <w:szCs w:val="20"/>
                <w:u w:val="none"/>
              </w:rPr>
              <w:t xml:space="preserve"> Caractéristiques indiquées dans le </w:t>
            </w:r>
            <w:r>
              <w:rPr>
                <w:b/>
                <w:bCs/>
                <w:color w:val="00274C"/>
                <w:position w:val="-2"/>
                <w:sz w:val="20"/>
                <w:szCs w:val="20"/>
                <w:u w:val="none"/>
              </w:rPr>
              <w:t xml:space="preserve">Tab. 2.33A</w:t>
            </w:r>
            <w:r>
              <w:rPr>
                <w:color w:val="00274C"/>
                <w:position w:val="-2"/>
                <w:sz w:val="20"/>
                <w:szCs w:val="20"/>
                <w:u w:val="none"/>
              </w:rPr>
              <w:t xml:space="preserve"> (connecteur bleu).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Thermocontact N/O avec température de fermeture +110 °C ±3 °C, réouverture +88 °C / +100 °C.</w:t>
            </w:r>
            <w:r>
              <w:rPr>
                <w:b/>
                <w:bCs/>
                <w:color w:val="00274C"/>
                <w:position w:val="-2"/>
                <w:sz w:val="20"/>
                <w:szCs w:val="20"/>
                <w:u w:val="none"/>
              </w:rPr>
              <w:br/>
              <w:t xml:space="preserve">P2</w:t>
            </w:r>
            <w:r>
              <w:rPr>
                <w:color w:val="00274C"/>
                <w:position w:val="-2"/>
                <w:sz w:val="20"/>
                <w:szCs w:val="20"/>
                <w:u w:val="none"/>
              </w:rPr>
              <w:t xml:space="preserve"> Caractéristiques indiquées dans le </w:t>
            </w:r>
            <w:r>
              <w:rPr>
                <w:b/>
                <w:bCs/>
                <w:color w:val="00274C"/>
                <w:position w:val="-2"/>
                <w:sz w:val="20"/>
                <w:szCs w:val="20"/>
                <w:u w:val="none"/>
              </w:rPr>
              <w:t xml:space="preserve">Tab. 2.33B</w:t>
            </w:r>
            <w:r>
              <w:rPr>
                <w:color w:val="00274C"/>
                <w:position w:val="-2"/>
                <w:sz w:val="20"/>
                <w:szCs w:val="20"/>
                <w:u w:val="none"/>
              </w:rPr>
              <w:t xml:space="preserve"> (connecteur blanc).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Thermocontact N/O avec température de fermeture +110 °C ±3 °C, réouverture +88 °C / +100 °C.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P2</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15.724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0069986" name="name19366229c77c7089c"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32436229c77c7089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2.14.4 Interrupteur d'obstruction du filtre à air</w:t>
            </w: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br/>
              <w:t xml:space="preserve">L'interrupteur est monté sur le filtre à air ; quand le filtre est encrassé, il envoie le signal au tableau.</w:t>
            </w:r>
            <w:r>
              <w:rPr>
                <w:color w:val="00274C"/>
                <w:position w:val="-2"/>
                <w:sz w:val="20"/>
                <w:szCs w:val="20"/>
                <w:u w:val="none"/>
              </w:rPr>
              <w:br/>
              <w:br/>
              <w:br/>
              <w:br/>
              <w:t xml:space="preserve">Ses caractéristiques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Température d'exercice : -30 °C / +100 °C</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Fermeture du contact par dépression : -50 mbar.</w:t>
            </w:r>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518"/>
              </w:rPr>
              <w:drawing>
                <wp:inline distT="0" distB="0" distL="0" distR="0">
                  <wp:extent cx="4824000" cy="3297600"/>
                  <wp:effectExtent b="0" l="0" r="0" t="0"/>
                  <wp:docPr id="37037000" name="name80666229c77c8c11a"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26516229c77c8c115"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Ampère 55 A</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Volt 12V</w:t>
            </w:r>
          </w:p>
          <w:p/>
          <w:p/>
        </w:tc>
        <w:tc>
          <w:tcPr>
            <w:tcMar>
              <w:top w:w="150" w:type="dxa"/>
              <w:left w:w="150" w:type="dxa"/>
              <w:bottom w:w="150" w:type="dxa"/>
              <w:right w:w="150" w:type="dxa"/>
            </w:tcMar>
            <w:textDirection w:val="lrTb"/>
            <w:vAlign w:val="top"/>
          </w:tcPr>
          <w:p>
            <w:r>
              <w:rPr>
                <w:position w:val="-240"/>
              </w:rPr>
              <w:drawing>
                <wp:inline distT="0" distB="0" distL="0" distR="0">
                  <wp:extent cx="2325600" cy="1569600"/>
                  <wp:effectExtent b="0" l="0" r="0" t="0"/>
                  <wp:docPr id="14507921" name="name69966229c77cac1b4"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87086229c77cac1ab"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Démarreur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98510827" name="name71396229c77cc8185"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17286229c77cc817f"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Dispositif de démarrage à froid</w:t>
            </w:r>
            <w:r>
              <w:rPr>
                <w:color w:val="00274C"/>
                <w:position w:val="-2"/>
                <w:sz w:val="20"/>
                <w:szCs w:val="20"/>
                <w:u w:val="none"/>
              </w:rPr>
              <w:t xml:space="preserve"> </w:t>
            </w:r>
            <w:r>
              <w:rPr>
                <w:b/>
                <w:bCs/>
                <w:color w:val="00274C"/>
                <w:position w:val="-2"/>
                <w:sz w:val="20"/>
                <w:szCs w:val="20"/>
                <w:u w:val="none"/>
              </w:rPr>
              <w:t xml:space="preserve">(Heater)</w:t>
            </w:r>
            <w:r>
              <w:rPr>
                <w:color w:val="00274C"/>
                <w:position w:val="-2"/>
                <w:sz w:val="20"/>
                <w:szCs w:val="20"/>
                <w:u w:val="none"/>
              </w:rPr>
              <w:br/>
              <w:br/>
              <w:t xml:space="preserve">Le dispositif de démarrage à froid est constitué d'une résistance, gérée par l'ECU, qui est activée lorsque la température ambiante est ≤ -16°C. L'air admis est chauffé par la résistance et facilite le démarrage du moteur.</w:t>
            </w:r>
            <w:r>
              <w:rPr>
                <w:color w:val="00274C"/>
                <w:position w:val="-2"/>
                <w:sz w:val="20"/>
                <w:szCs w:val="20"/>
                <w:u w:val="none"/>
              </w:rPr>
              <w:br/>
              <w:br/>
              <w:br/>
              <w:br/>
              <w:t xml:space="preserve">Caractéristiques: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8230"/>
              </w:numPr>
              <w:spacing w:before="0" w:after="0" w:line="262" w:lineRule="auto"/>
              <w:jc w:val="left"/>
              <w:rPr>
                <w:color w:val="00274C"/>
                <w:sz w:val="20"/>
                <w:szCs w:val="20"/>
              </w:rPr>
            </w:pPr>
            <w:r>
              <w:rPr>
                <w:color w:val="00274C"/>
                <w:position w:val="-2"/>
                <w:sz w:val="20"/>
                <w:szCs w:val="20"/>
                <w:u w:val="none"/>
              </w:rPr>
              <w:t xml:space="preserve">Puissance 550 W</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5366304" name="name67976229c77ce1f04"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10586229c77ce1ef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Pompe électrique (option)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La pompe électrique est située avant le filtre à carburant, l'une des pompes </w:t>
            </w:r>
            <w:r>
              <w:rPr>
                <w:b/>
                <w:bCs/>
                <w:color w:val="00274C"/>
                <w:position w:val="-2"/>
                <w:sz w:val="20"/>
                <w:szCs w:val="20"/>
                <w:u w:val="none"/>
              </w:rPr>
              <w:t xml:space="preserve">A1 - A2 - A3 - A4</w:t>
            </w:r>
            <w:r>
              <w:rPr>
                <w:color w:val="00274C"/>
                <w:position w:val="-2"/>
                <w:sz w:val="20"/>
                <w:szCs w:val="20"/>
                <w:u w:val="none"/>
              </w:rPr>
              <w:t xml:space="preserve"> peut être montée.</w:t>
            </w:r>
            <w:r>
              <w:rPr>
                <w:color w:val="00274C"/>
                <w:position w:val="-2"/>
                <w:sz w:val="20"/>
                <w:szCs w:val="20"/>
                <w:u w:val="none"/>
              </w:rPr>
              <w:br/>
              <w:t xml:space="preserve">Le  </w:t>
            </w:r>
            <w:r>
              <w:rPr>
                <w:b/>
                <w:bCs/>
                <w:color w:val="00274C"/>
                <w:position w:val="-2"/>
                <w:sz w:val="20"/>
                <w:szCs w:val="20"/>
                <w:u w:val="none"/>
              </w:rPr>
              <w:t xml:space="preserve">Tab. 2.34 a-b-c-d</w:t>
            </w:r>
            <w:r>
              <w:rPr>
                <w:color w:val="00274C"/>
                <w:position w:val="-2"/>
                <w:sz w:val="20"/>
                <w:szCs w:val="20"/>
                <w:u w:val="none"/>
              </w:rPr>
              <w:t xml:space="preserve">  indique les caractéristiques des pompes.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du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sortie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au filtre à carburant</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42"/>
              </w:rPr>
              <w:drawing>
                <wp:inline distT="0" distB="0" distL="0" distR="0">
                  <wp:extent cx="2340000" cy="1576800"/>
                  <wp:effectExtent b="0" l="0" r="0" t="0"/>
                  <wp:docPr id="87746342" name="name84656229c77d0f92b"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55846229c77d0f910"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Direction w:val="lrTb"/>
              <w:textAlignment w:val="top"/>
            </w:pPr>
            <w:r>
              <w:rPr>
                <w:position w:val="-162"/>
              </w:rPr>
              <w:drawing>
                <wp:inline distT="0" distB="0" distL="0" distR="0">
                  <wp:extent cx="2332800" cy="1087200"/>
                  <wp:effectExtent b="0" l="0" r="0" t="0"/>
                  <wp:docPr id="52635305" name="name70026229c77d26663"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88696229c77d2665c"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Direction w:val="lrTb"/>
              <w:textAlignment w:val="top"/>
            </w:pPr>
            <w:r>
              <w:rPr>
                <w:position w:val="-142"/>
              </w:rPr>
              <w:drawing>
                <wp:inline distT="0" distB="0" distL="0" distR="0">
                  <wp:extent cx="2325600" cy="964800"/>
                  <wp:effectExtent b="0" l="0" r="0" t="0"/>
                  <wp:docPr id="81194270" name="name26196229c77d3b18b"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91166229c77d3b185"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8000"/>
                  <wp:effectExtent b="0" l="0" r="0" t="0"/>
                  <wp:docPr id="34994979" name="name93486229c77d4ddc8"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90796229c77d4ddc3"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Direction w:val="lrTb"/>
              <w:textAlignment w:val="top"/>
            </w:pPr>
            <w:r>
              <w:rPr>
                <w:position w:val="-178"/>
              </w:rPr>
              <w:drawing>
                <wp:inline distT="0" distB="0" distL="0" distR="0">
                  <wp:extent cx="2217600" cy="1180800"/>
                  <wp:effectExtent b="0" l="0" r="0" t="0"/>
                  <wp:docPr id="23476682" name="name46746229c77d622af"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62956229c77d6228b"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 dispositif Cold Start Advance </w:t>
            </w:r>
            <w:r>
              <w:rPr>
                <w:b/>
                <w:bCs/>
                <w:color w:val="00274C"/>
                <w:position w:val="-2"/>
                <w:sz w:val="20"/>
                <w:szCs w:val="20"/>
                <w:u w:val="none"/>
              </w:rPr>
              <w:t xml:space="preserve">E</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la modification d'avance de l'injection pour faciliter le démarrage du moteur à basse température.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dispositif est commandé par l'unité de contrôle </w:t>
            </w:r>
            <w:r>
              <w:rPr>
                <w:b/>
                <w:bCs/>
                <w:color w:val="00274C"/>
                <w:position w:val="-2"/>
                <w:sz w:val="20"/>
                <w:szCs w:val="20"/>
                <w:u w:val="none"/>
              </w:rPr>
              <w:t xml:space="preserve">H</w:t>
            </w:r>
            <w:r>
              <w:rPr>
                <w:color w:val="00274C"/>
                <w:position w:val="-2"/>
                <w:sz w:val="20"/>
                <w:szCs w:val="20"/>
                <w:u w:val="none"/>
              </w:rPr>
              <w:t xml:space="preserve"> .</w:t>
            </w:r>
          </w:p>
        </w:tc>
        <w:tc>
          <w:tcPr>
            <w:vMerge w:val="restart"/>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40001357" name="name80436229c77d7933d"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46886229c77d7933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 dispositif elettro-stop </w:t>
            </w:r>
            <w:r>
              <w:rPr>
                <w:b/>
                <w:bCs/>
                <w:color w:val="00274C"/>
                <w:position w:val="-2"/>
                <w:sz w:val="20"/>
                <w:szCs w:val="20"/>
                <w:u w:val="none"/>
              </w:rPr>
              <w:t xml:space="preserve">F</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l'extinction du moteur en bloquant le débit de carburant à l'entrée de la pompe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Unité de contrôle de démarrage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H</w:t>
            </w:r>
            <w:r>
              <w:rPr>
                <w:color w:val="00274C"/>
                <w:position w:val="-2"/>
                <w:sz w:val="20"/>
                <w:szCs w:val="20"/>
                <w:u w:val="none"/>
              </w:rPr>
              <w:t xml:space="preserve"> favorise l'allumage du moteur à froid, en commandant le « dispositif allumage à froid » ( </w:t>
            </w:r>
            <w:r>
              <w:rPr>
                <w:b/>
                <w:bCs/>
                <w:color w:val="00274C"/>
                <w:position w:val="-2"/>
                <w:sz w:val="20"/>
                <w:szCs w:val="20"/>
                <w:u w:val="none"/>
              </w:rPr>
              <w:t xml:space="preserve">Heater</w:t>
            </w:r>
            <w:r>
              <w:rPr>
                <w:color w:val="00274C"/>
                <w:position w:val="-2"/>
                <w:sz w:val="20"/>
                <w:szCs w:val="20"/>
                <w:u w:val="none"/>
              </w:rPr>
              <w:t xml:space="preserve"> ) et le dispositif « Cold Start Advance » ( </w:t>
            </w:r>
            <w:r>
              <w:rPr>
                <w:b/>
                <w:bCs/>
                <w:color w:val="00274C"/>
                <w:position w:val="-2"/>
                <w:sz w:val="20"/>
                <w:szCs w:val="20"/>
                <w:u w:val="none"/>
              </w:rPr>
              <w:t xml:space="preserve">CSA</w:t>
            </w:r>
            <w:r>
              <w:rPr>
                <w:color w:val="00274C"/>
                <w:position w:val="-2"/>
                <w:sz w:val="20"/>
                <w:szCs w:val="20"/>
                <w:u w:val="none"/>
              </w:rPr>
              <w:t xml:space="preserve"> ). Le </w:t>
            </w:r>
            <w:r>
              <w:rPr>
                <w:b/>
                <w:bCs/>
                <w:color w:val="00274C"/>
                <w:position w:val="-2"/>
                <w:sz w:val="20"/>
                <w:szCs w:val="20"/>
                <w:u w:val="none"/>
              </w:rPr>
              <w:t xml:space="preserve">Tab. 2.35a</w:t>
            </w:r>
            <w:r>
              <w:rPr>
                <w:color w:val="00274C"/>
                <w:position w:val="-2"/>
                <w:sz w:val="20"/>
                <w:szCs w:val="20"/>
                <w:u w:val="none"/>
              </w:rPr>
              <w:t xml:space="preserve"> indique les temps d'activation en fonction de la température ambiante.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RACORDE'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50 - allumage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allumage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sur tableau de commande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62"/>
              </w:rPr>
              <w:drawing>
                <wp:inline distT="0" distB="0" distL="0" distR="0">
                  <wp:extent cx="2232000" cy="2944800"/>
                  <wp:effectExtent b="0" l="0" r="0" t="0"/>
                  <wp:docPr id="59092964" name="name56866229c77d97000"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63926229c77d96fe6"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Fusibile</w:t>
            </w:r>
          </w:p>
          <w:p/>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G</w:t>
            </w:r>
            <w:r>
              <w:rPr>
                <w:color w:val="00274C"/>
                <w:position w:val="-2"/>
                <w:sz w:val="20"/>
                <w:szCs w:val="20"/>
                <w:u w:val="none"/>
              </w:rPr>
              <w:t xml:space="preserve"> est monté sur la culasse </w:t>
            </w:r>
            <w:r>
              <w:rPr>
                <w:b/>
                <w:bCs/>
                <w:color w:val="00274C"/>
                <w:position w:val="-2"/>
                <w:sz w:val="20"/>
                <w:szCs w:val="20"/>
                <w:u w:val="none"/>
              </w:rPr>
              <w:t xml:space="preserve">P</w:t>
            </w:r>
            <w:r>
              <w:rPr>
                <w:color w:val="00274C"/>
                <w:position w:val="-2"/>
                <w:sz w:val="20"/>
                <w:szCs w:val="20"/>
                <w:u w:val="none"/>
              </w:rPr>
              <w:t xml:space="preserve"> (côté volant), il pourvoit à la protection du circuit électrique en cas de surcharge ou de court-circuit.</w:t>
            </w:r>
          </w:p>
          <w:p>
            <w:pPr>
              <w:widowControl w:val="on"/>
              <w:pBdr/>
              <w:spacing w:before="0" w:after="0" w:line="262" w:lineRule="auto"/>
              <w:ind w:left="0" w:right="0"/>
              <w:jc w:val="left"/>
              <w:textDirection w:val="lrTb"/>
              <w:textAlignment w:val="center"/>
            </w:pPr>
            <w:r>
              <w:rPr>
                <w:color w:val="00274C"/>
                <w:position w:val="-2"/>
                <w:sz w:val="20"/>
                <w:szCs w:val="20"/>
                <w:u w:val="none"/>
              </w:rPr>
              <w:br/>
              <w:br/>
              <w:br/>
              <w:br/>
              <w:br/>
              <w:b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86430921" name="name58766229c77daebb9"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44366229c77daeb7a"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Tableau de commande (option)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tableau </w:t>
            </w:r>
            <w:r>
              <w:rPr>
                <w:b/>
                <w:bCs/>
                <w:color w:val="00274C"/>
                <w:position w:val="-2"/>
                <w:sz w:val="20"/>
                <w:szCs w:val="20"/>
                <w:u w:val="none"/>
              </w:rPr>
              <w:t xml:space="preserve">L</w:t>
            </w:r>
            <w:r>
              <w:rPr>
                <w:color w:val="00274C"/>
                <w:position w:val="-2"/>
                <w:sz w:val="20"/>
                <w:szCs w:val="20"/>
                <w:u w:val="none"/>
              </w:rPr>
              <w:t xml:space="preserve"> peut être monté sur le moteur ou sur la machine.</w:t>
            </w:r>
            <w:r>
              <w:rPr>
                <w:color w:val="00274C"/>
                <w:position w:val="-2"/>
                <w:sz w:val="20"/>
                <w:szCs w:val="20"/>
                <w:u w:val="none"/>
              </w:rPr>
              <w:br/>
              <w:t xml:space="preserve">Le </w:t>
            </w:r>
            <w:r>
              <w:rPr>
                <w:b/>
                <w:bCs/>
                <w:color w:val="00274C"/>
                <w:position w:val="-2"/>
                <w:sz w:val="20"/>
                <w:szCs w:val="20"/>
                <w:u w:val="none"/>
              </w:rPr>
              <w:t xml:space="preserve">Tab. 2.36</w:t>
            </w:r>
            <w:r>
              <w:rPr>
                <w:color w:val="00274C"/>
                <w:position w:val="-2"/>
                <w:sz w:val="20"/>
                <w:szCs w:val="20"/>
                <w:u w:val="none"/>
              </w:rPr>
              <w:t xml:space="preserve">  illustre ses fonctions principales.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d'allumage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pas en recharge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72"/>
              </w:rPr>
              <w:drawing>
                <wp:inline distT="0" distB="0" distL="0" distR="0">
                  <wp:extent cx="2368800" cy="1764000"/>
                  <wp:effectExtent b="0" l="0" r="0" t="0"/>
                  <wp:docPr id="36657039" name="name60656229c77dd1f84"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60196229c77dd1f6e"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Distribution et poussoirs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2.16.1 Identification des composants</w:t>
            </w:r>
          </w:p>
          <w:p>
            <w:r>
              <w:rPr>
                <w:position w:val="-162"/>
              </w:rPr>
              <w:drawing>
                <wp:inline distT="0" distB="0" distL="0" distR="0">
                  <wp:extent cx="4024800" cy="2095200"/>
                  <wp:effectExtent b="0" l="0" r="0" t="0"/>
                  <wp:docPr id="1399006" name="name86376229c77de7708"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65716229c77de7702" cstate="print"/>
                          <a:stretch>
                            <a:fillRect/>
                          </a:stretch>
                        </pic:blipFill>
                        <pic:spPr>
                          <a:xfrm>
                            <a:off x="0" y="0"/>
                            <a:ext cx="4024800" cy="2095200"/>
                          </a:xfrm>
                          <a:prstGeom prst="rect">
                            <a:avLst/>
                          </a:prstGeom>
                          <a:ln w="0">
                            <a:noFill/>
                          </a:ln>
                        </pic:spPr>
                      </pic:pic>
                    </a:graphicData>
                  </a:graphic>
                </wp:inline>
              </w:drawing>
            </w:r>
            <w:r>
              <w:rPr>
                <w:b/>
                <w:bCs/>
                <w:color w:val="00274C"/>
                <w:position w:val="-2"/>
                <w:sz w:val="20"/>
                <w:szCs w:val="20"/>
                <w:u w:val="none"/>
              </w:rPr>
              <w:b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Mar>
              <w:top w:w="150" w:type="dxa"/>
              <w:left w:w="150" w:type="dxa"/>
              <w:bottom w:w="150" w:type="dxa"/>
              <w:right w:w="150" w:type="dxa"/>
            </w:tcMar>
            <w:textDirection w:val="lrTb"/>
            <w:vAlign w:val="top"/>
          </w:tcPr>
          <w:p>
            <w:r>
              <w:rPr>
                <w:position w:val="-242"/>
              </w:rPr>
              <w:drawing>
                <wp:inline distT="0" distB="0" distL="0" distR="0">
                  <wp:extent cx="2376000" cy="1576800"/>
                  <wp:effectExtent b="0" l="0" r="0" t="0"/>
                  <wp:docPr id="39234325" name="name70026229c77e0e8ca"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12466229c77e0e8b8"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53073847" name="name42556229c77e24c0c"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88826229c77e24c06"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w:t>
            </w:r>
            <w:r>
              <w:rPr>
                <w:color w:val="00274C"/>
                <w:position w:val="-2"/>
                <w:sz w:val="20"/>
                <w:szCs w:val="20"/>
                <w:u w:val="none"/>
              </w:rPr>
              <w:t xml:space="preserve"> </w:t>
            </w:r>
            <w:r>
              <w:rPr>
                <w:b/>
                <w:bCs/>
                <w:color w:val="00274C"/>
                <w:position w:val="-2"/>
                <w:sz w:val="20"/>
                <w:szCs w:val="20"/>
                <w:u w:val="none"/>
              </w:rPr>
              <w:t xml:space="preserve">Axe des culbuteurs</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Mar>
              <w:top w:w="150" w:type="dxa"/>
              <w:left w:w="150" w:type="dxa"/>
              <w:bottom w:w="150" w:type="dxa"/>
              <w:right w:w="150" w:type="dxa"/>
            </w:tcMar>
            <w:textDirection w:val="lrTb"/>
            <w:vAlign w:val="top"/>
          </w:tcPr>
          <w:p>
            <w:r>
              <w:rPr>
                <w:position w:val="-242"/>
              </w:rPr>
              <w:drawing>
                <wp:inline distT="0" distB="0" distL="0" distR="0">
                  <wp:extent cx="2376000" cy="1576800"/>
                  <wp:effectExtent b="0" l="0" r="0" t="0"/>
                  <wp:docPr id="34967734" name="name64806229c77e3c4c3"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15956229c77e3c4bf"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w:t>
            </w:r>
            <w:r>
              <w:rPr>
                <w:color w:val="00274C"/>
                <w:position w:val="-2"/>
                <w:sz w:val="20"/>
                <w:szCs w:val="20"/>
                <w:u w:val="none"/>
              </w:rPr>
              <w:t xml:space="preserve"> </w:t>
            </w:r>
            <w:r>
              <w:rPr>
                <w:b/>
                <w:bCs/>
                <w:color w:val="00274C"/>
                <w:position w:val="-2"/>
                <w:sz w:val="20"/>
                <w:szCs w:val="20"/>
                <w:u w:val="none"/>
              </w:rPr>
              <w:t xml:space="preserve">Culbuteurs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Mar>
              <w:top w:w="150" w:type="dxa"/>
              <w:left w:w="150" w:type="dxa"/>
              <w:bottom w:w="150" w:type="dxa"/>
              <w:right w:w="150" w:type="dxa"/>
            </w:tcMar>
            <w:textDirection w:val="lrTb"/>
            <w:vAlign w:val="top"/>
          </w:tcPr>
          <w:p>
            <w:r>
              <w:rPr>
                <w:position w:val="-246"/>
              </w:rPr>
              <w:drawing>
                <wp:inline distT="0" distB="0" distL="0" distR="0">
                  <wp:extent cx="2390400" cy="1612800"/>
                  <wp:effectExtent b="0" l="0" r="0" t="0"/>
                  <wp:docPr id="83642777" name="name35276229c77e525b6"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78796229c77e5259d"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w:t>
            </w:r>
            <w:r>
              <w:rPr>
                <w:color w:val="00274C"/>
                <w:position w:val="-2"/>
                <w:sz w:val="20"/>
                <w:szCs w:val="20"/>
                <w:u w:val="none"/>
              </w:rPr>
              <w:t xml:space="preserve"> </w:t>
            </w:r>
            <w:r>
              <w:rPr>
                <w:b/>
                <w:bCs/>
                <w:color w:val="00274C"/>
                <w:position w:val="-2"/>
                <w:sz w:val="20"/>
                <w:szCs w:val="20"/>
                <w:u w:val="none"/>
              </w:rPr>
              <w:t xml:space="preserve">Poussoirs hydrauliques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principe de fonctionnement du poussoir hydraulique se base sur le fait que les liquides ne sont pas compressibles et sur l’écoulement contrôlé.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20851481" name="name24736229c77e6c8f1"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46526229c77e6c8ed"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1"/>
                <w:numId w:val="8233"/>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38626229c77e6d5a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8233"/>
              </w:numPr>
              <w:spacing w:before="0" w:after="0" w:line="262" w:lineRule="auto"/>
              <w:jc w:val="left"/>
              <w:rPr>
                <w:color w:val="00274C"/>
                <w:sz w:val="20"/>
                <w:szCs w:val="20"/>
              </w:rPr>
            </w:pPr>
            <w:r>
              <w:rPr>
                <w:color w:val="00274C"/>
                <w:position w:val="-2"/>
                <w:sz w:val="20"/>
                <w:szCs w:val="20"/>
                <w:u w:val="none"/>
              </w:rPr>
              <w:t xml:space="preserve">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
            <w:pPr>
              <w:widowControl w:val="on"/>
              <w:pBdr/>
              <w:spacing w:before="0" w:after="0" w:line="240" w:lineRule="auto"/>
              <w:ind w:left="0" w:right="0"/>
              <w:jc w:val="left"/>
            </w:pPr>
            <w:r>
              <w:rPr>
                <w:color w:val="00274C"/>
                <w:position w:val="-2"/>
                <w:sz w:val="20"/>
                <w:szCs w:val="20"/>
                <w:u w:val="none"/>
              </w:rPr>
              <w:t xml:space="preserve">
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r>
              <w:rPr>
                <w:color w:val="00274C"/>
                <w:position w:val="-2"/>
                <w:sz w:val="20"/>
                <w:szCs w:val="20"/>
                <w:u w:val="none"/>
              </w:rPr>
              <w:br/>
              <w:br/>
              <w:t xml:space="preserve">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504"/>
              </w:rPr>
              <w:drawing>
                <wp:inline distT="0" distB="0" distL="0" distR="0">
                  <wp:extent cx="2304000" cy="3211200"/>
                  <wp:effectExtent b="0" l="0" r="0" t="0"/>
                  <wp:docPr id="89683755" name="name64396229c77e84284"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91466229c77e8427f"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Injecteur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5597570" name="name80276229c77e9a2e0"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58056229c77e9a2c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233">
    <w:multiLevelType w:val="hybridMultilevel"/>
    <w:lvl w:ilvl="0" w:tplc="61553699">
      <w:start w:val="1"/>
      <w:numFmt w:val="decimal"/>
      <w:lvlText w:val="%1."/>
      <w:lvlJc w:val="left"/>
      <w:pPr>
        <w:ind w:left="720" w:hanging="360"/>
      </w:pPr>
    </w:lvl>
    <w:lvl w:ilvl="1" w:tplc="61553699" w:tentative="1">
      <w:start w:val="1"/>
      <w:numFmt w:val="decimal"/>
      <w:lvlText w:val="%2."/>
      <w:lvlJc w:val="left"/>
      <w:pPr>
        <w:ind w:left="1440" w:hanging="360"/>
      </w:pPr>
    </w:lvl>
    <w:lvl w:ilvl="2" w:tplc="61553699" w:tentative="1">
      <w:start w:val="1"/>
      <w:numFmt w:val="lowerRoman"/>
      <w:lvlText w:val="%3."/>
      <w:lvlJc w:val="right"/>
      <w:pPr>
        <w:ind w:left="2160" w:hanging="180"/>
      </w:pPr>
    </w:lvl>
    <w:lvl w:ilvl="3" w:tplc="61553699" w:tentative="1">
      <w:start w:val="1"/>
      <w:numFmt w:val="decimal"/>
      <w:lvlText w:val="%4."/>
      <w:lvlJc w:val="left"/>
      <w:pPr>
        <w:ind w:left="2880" w:hanging="360"/>
      </w:pPr>
    </w:lvl>
    <w:lvl w:ilvl="4" w:tplc="61553699" w:tentative="1">
      <w:start w:val="1"/>
      <w:numFmt w:val="lowerLetter"/>
      <w:lvlText w:val="%5."/>
      <w:lvlJc w:val="left"/>
      <w:pPr>
        <w:ind w:left="3600" w:hanging="360"/>
      </w:pPr>
    </w:lvl>
    <w:lvl w:ilvl="5" w:tplc="61553699" w:tentative="1">
      <w:start w:val="1"/>
      <w:numFmt w:val="lowerRoman"/>
      <w:lvlText w:val="%6."/>
      <w:lvlJc w:val="right"/>
      <w:pPr>
        <w:ind w:left="4320" w:hanging="180"/>
      </w:pPr>
    </w:lvl>
    <w:lvl w:ilvl="6" w:tplc="61553699" w:tentative="1">
      <w:start w:val="1"/>
      <w:numFmt w:val="decimal"/>
      <w:lvlText w:val="%7."/>
      <w:lvlJc w:val="left"/>
      <w:pPr>
        <w:ind w:left="5040" w:hanging="360"/>
      </w:pPr>
    </w:lvl>
    <w:lvl w:ilvl="7" w:tplc="61553699" w:tentative="1">
      <w:start w:val="1"/>
      <w:numFmt w:val="lowerLetter"/>
      <w:lvlText w:val="%8."/>
      <w:lvlJc w:val="left"/>
      <w:pPr>
        <w:ind w:left="5760" w:hanging="360"/>
      </w:pPr>
    </w:lvl>
    <w:lvl w:ilvl="8" w:tplc="61553699" w:tentative="1">
      <w:start w:val="1"/>
      <w:numFmt w:val="lowerRoman"/>
      <w:lvlText w:val="%9."/>
      <w:lvlJc w:val="right"/>
      <w:pPr>
        <w:ind w:left="6480" w:hanging="180"/>
      </w:pPr>
    </w:lvl>
  </w:abstractNum>
  <w:abstractNum w:abstractNumId="8232">
    <w:multiLevelType w:val="hybridMultilevel"/>
    <w:lvl w:ilvl="0" w:tplc="11036855">
      <w:start w:val="1"/>
      <w:numFmt w:val="decimal"/>
      <w:lvlText w:val="%1."/>
      <w:lvlJc w:val="left"/>
      <w:pPr>
        <w:ind w:left="720" w:hanging="360"/>
      </w:pPr>
    </w:lvl>
    <w:lvl w:ilvl="1" w:tplc="11036855" w:tentative="1">
      <w:start w:val="1"/>
      <w:numFmt w:val="lowerLetter"/>
      <w:lvlText w:val="%2."/>
      <w:lvlJc w:val="left"/>
      <w:pPr>
        <w:ind w:left="1440" w:hanging="360"/>
      </w:pPr>
    </w:lvl>
    <w:lvl w:ilvl="2" w:tplc="11036855" w:tentative="1">
      <w:start w:val="1"/>
      <w:numFmt w:val="lowerRoman"/>
      <w:lvlText w:val="%3."/>
      <w:lvlJc w:val="right"/>
      <w:pPr>
        <w:ind w:left="2160" w:hanging="180"/>
      </w:pPr>
    </w:lvl>
    <w:lvl w:ilvl="3" w:tplc="11036855" w:tentative="1">
      <w:start w:val="1"/>
      <w:numFmt w:val="decimal"/>
      <w:lvlText w:val="%4."/>
      <w:lvlJc w:val="left"/>
      <w:pPr>
        <w:ind w:left="2880" w:hanging="360"/>
      </w:pPr>
    </w:lvl>
    <w:lvl w:ilvl="4" w:tplc="11036855" w:tentative="1">
      <w:start w:val="1"/>
      <w:numFmt w:val="lowerLetter"/>
      <w:lvlText w:val="%5."/>
      <w:lvlJc w:val="left"/>
      <w:pPr>
        <w:ind w:left="3600" w:hanging="360"/>
      </w:pPr>
    </w:lvl>
    <w:lvl w:ilvl="5" w:tplc="11036855" w:tentative="1">
      <w:start w:val="1"/>
      <w:numFmt w:val="lowerRoman"/>
      <w:lvlText w:val="%6."/>
      <w:lvlJc w:val="right"/>
      <w:pPr>
        <w:ind w:left="4320" w:hanging="180"/>
      </w:pPr>
    </w:lvl>
    <w:lvl w:ilvl="6" w:tplc="11036855" w:tentative="1">
      <w:start w:val="1"/>
      <w:numFmt w:val="decimal"/>
      <w:lvlText w:val="%7."/>
      <w:lvlJc w:val="left"/>
      <w:pPr>
        <w:ind w:left="5040" w:hanging="360"/>
      </w:pPr>
    </w:lvl>
    <w:lvl w:ilvl="7" w:tplc="11036855" w:tentative="1">
      <w:start w:val="1"/>
      <w:numFmt w:val="lowerLetter"/>
      <w:lvlText w:val="%8."/>
      <w:lvlJc w:val="left"/>
      <w:pPr>
        <w:ind w:left="5760" w:hanging="360"/>
      </w:pPr>
    </w:lvl>
    <w:lvl w:ilvl="8" w:tplc="11036855" w:tentative="1">
      <w:start w:val="1"/>
      <w:numFmt w:val="lowerRoman"/>
      <w:lvlText w:val="%9."/>
      <w:lvlJc w:val="right"/>
      <w:pPr>
        <w:ind w:left="6480" w:hanging="180"/>
      </w:pPr>
    </w:lvl>
  </w:abstractNum>
  <w:abstractNum w:abstractNumId="8231">
    <w:multiLevelType w:val="hybridMultilevel"/>
    <w:lvl w:ilvl="0" w:tplc="92127143">
      <w:start w:val="1"/>
      <w:numFmt w:val="decimal"/>
      <w:lvlText w:val="%1."/>
      <w:lvlJc w:val="left"/>
      <w:pPr>
        <w:ind w:left="720" w:hanging="360"/>
      </w:pPr>
    </w:lvl>
    <w:lvl w:ilvl="1" w:tplc="92127143" w:tentative="1">
      <w:start w:val="1"/>
      <w:numFmt w:val="lowerLetter"/>
      <w:lvlText w:val="%2."/>
      <w:lvlJc w:val="left"/>
      <w:pPr>
        <w:ind w:left="1440" w:hanging="360"/>
      </w:pPr>
    </w:lvl>
    <w:lvl w:ilvl="2" w:tplc="92127143" w:tentative="1">
      <w:start w:val="1"/>
      <w:numFmt w:val="lowerRoman"/>
      <w:lvlText w:val="%3."/>
      <w:lvlJc w:val="right"/>
      <w:pPr>
        <w:ind w:left="2160" w:hanging="180"/>
      </w:pPr>
    </w:lvl>
    <w:lvl w:ilvl="3" w:tplc="92127143" w:tentative="1">
      <w:start w:val="1"/>
      <w:numFmt w:val="decimal"/>
      <w:lvlText w:val="%4."/>
      <w:lvlJc w:val="left"/>
      <w:pPr>
        <w:ind w:left="2880" w:hanging="360"/>
      </w:pPr>
    </w:lvl>
    <w:lvl w:ilvl="4" w:tplc="92127143" w:tentative="1">
      <w:start w:val="1"/>
      <w:numFmt w:val="lowerLetter"/>
      <w:lvlText w:val="%5."/>
      <w:lvlJc w:val="left"/>
      <w:pPr>
        <w:ind w:left="3600" w:hanging="360"/>
      </w:pPr>
    </w:lvl>
    <w:lvl w:ilvl="5" w:tplc="92127143" w:tentative="1">
      <w:start w:val="1"/>
      <w:numFmt w:val="lowerRoman"/>
      <w:lvlText w:val="%6."/>
      <w:lvlJc w:val="right"/>
      <w:pPr>
        <w:ind w:left="4320" w:hanging="180"/>
      </w:pPr>
    </w:lvl>
    <w:lvl w:ilvl="6" w:tplc="92127143" w:tentative="1">
      <w:start w:val="1"/>
      <w:numFmt w:val="decimal"/>
      <w:lvlText w:val="%7."/>
      <w:lvlJc w:val="left"/>
      <w:pPr>
        <w:ind w:left="5040" w:hanging="360"/>
      </w:pPr>
    </w:lvl>
    <w:lvl w:ilvl="7" w:tplc="92127143" w:tentative="1">
      <w:start w:val="1"/>
      <w:numFmt w:val="lowerLetter"/>
      <w:lvlText w:val="%8."/>
      <w:lvlJc w:val="left"/>
      <w:pPr>
        <w:ind w:left="5760" w:hanging="360"/>
      </w:pPr>
    </w:lvl>
    <w:lvl w:ilvl="8" w:tplc="92127143" w:tentative="1">
      <w:start w:val="1"/>
      <w:numFmt w:val="lowerRoman"/>
      <w:lvlText w:val="%9."/>
      <w:lvlJc w:val="right"/>
      <w:pPr>
        <w:ind w:left="6480" w:hanging="180"/>
      </w:pPr>
    </w:lvl>
  </w:abstractNum>
  <w:abstractNum w:abstractNumId="8230">
    <w:multiLevelType w:val="hybridMultilevel"/>
    <w:lvl w:ilvl="0" w:tplc="814268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230">
    <w:abstractNumId w:val="8230"/>
  </w:num>
  <w:num w:numId="8231">
    <w:abstractNumId w:val="8231"/>
  </w:num>
  <w:num w:numId="8232">
    <w:abstractNumId w:val="8232"/>
  </w:num>
  <w:num w:numId="8233">
    <w:abstractNumId w:val="82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3480934" Type="http://schemas.openxmlformats.org/officeDocument/2006/relationships/comments" Target="comments.xml"/><Relationship Id="rId815554656" Type="http://schemas.microsoft.com/office/2011/relationships/commentsExtended" Target="commentsExtended.xml"/><Relationship Id="rId77047135" Type="http://schemas.openxmlformats.org/officeDocument/2006/relationships/image" Target="media/imgrId77047135.jpg"/><Relationship Id="rId47606229c776bd024" Type="http://schemas.openxmlformats.org/officeDocument/2006/relationships/hyperlink" Target="https://iservice.lombardini.it/jsp/Template2/manuale.jsp?id=268&amp;parent=1136" TargetMode="External"/><Relationship Id="rId27936229c776be3f5" Type="http://schemas.openxmlformats.org/officeDocument/2006/relationships/hyperlink" Target="https://iservice.lombardini.it/jsp/Template2/manuale.jsp?id=281&amp;parent=1136" TargetMode="External"/><Relationship Id="rId88026229c777aa37c" Type="http://schemas.openxmlformats.org/officeDocument/2006/relationships/hyperlink" Target="https://iservice.lombardini.it/jsp/Template2/manuale.jsp?id=280&amp;parent=1136" TargetMode="External"/><Relationship Id="rId14536229c778a3c87" Type="http://schemas.openxmlformats.org/officeDocument/2006/relationships/hyperlink" Target="https://iservice.lombardini.it/jsp/Template2/manuale.jsp?id=191&amp;parent=1000" TargetMode="External"/><Relationship Id="rId57146229c778a43fb" Type="http://schemas.openxmlformats.org/officeDocument/2006/relationships/hyperlink" Target="https://iservice.lombardini.it/jsp/Template2/manuale.jsp?id=191&amp;parent=1000" TargetMode="External"/><Relationship Id="rId87986229c7793d55d" Type="http://schemas.openxmlformats.org/officeDocument/2006/relationships/hyperlink" Target="https://www.youtube.com/embed/5HuLfSgqz6s?rel=0" TargetMode="External"/><Relationship Id="rId38626229c77e6d5a8" Type="http://schemas.openxmlformats.org/officeDocument/2006/relationships/hyperlink" Target="https://iservice.lombardini.it/jsp/Template2/manuale.jsp?id=268&amp;parent=1136" TargetMode="External"/><Relationship Id="rId68816229c7770b8cd" Type="http://schemas.openxmlformats.org/officeDocument/2006/relationships/image" Target="media/imgrId68816229c7770b8cd.jpg"/><Relationship Id="rId74646229c7772842c" Type="http://schemas.openxmlformats.org/officeDocument/2006/relationships/image" Target="media/imgrId74646229c7772842c.jpg"/><Relationship Id="rId94496229c7773a3f7" Type="http://schemas.openxmlformats.org/officeDocument/2006/relationships/image" Target="media/imgrId94496229c7773a3f7.jpg"/><Relationship Id="rId81766229c7774b1a1" Type="http://schemas.openxmlformats.org/officeDocument/2006/relationships/image" Target="media/imgrId81766229c7774b1a1.jpg"/><Relationship Id="rId48326229c7775d4fe" Type="http://schemas.openxmlformats.org/officeDocument/2006/relationships/image" Target="media/imgrId48326229c7775d4fe.jpg"/><Relationship Id="rId52486229c7776f283" Type="http://schemas.openxmlformats.org/officeDocument/2006/relationships/image" Target="media/imgrId52486229c7776f283.jpg"/><Relationship Id="rId88156229c77780030" Type="http://schemas.openxmlformats.org/officeDocument/2006/relationships/image" Target="media/imgrId88156229c77780030.jpg"/><Relationship Id="rId41456229c777978b3" Type="http://schemas.openxmlformats.org/officeDocument/2006/relationships/image" Target="media/imgrId41456229c777978b3.png"/><Relationship Id="rId84906229c777baf18" Type="http://schemas.openxmlformats.org/officeDocument/2006/relationships/image" Target="media/imgrId84906229c777baf18.jpg"/><Relationship Id="rId82856229c777da07a" Type="http://schemas.openxmlformats.org/officeDocument/2006/relationships/image" Target="media/imgrId82856229c777da07a.jpg"/><Relationship Id="rId35686229c777f3232" Type="http://schemas.openxmlformats.org/officeDocument/2006/relationships/image" Target="media/imgrId35686229c777f3232.jpg"/><Relationship Id="rId13926229c77821f75" Type="http://schemas.openxmlformats.org/officeDocument/2006/relationships/image" Target="media/imgrId13926229c77821f75.jpg"/><Relationship Id="rId46786229c77839a67" Type="http://schemas.openxmlformats.org/officeDocument/2006/relationships/image" Target="media/imgrId46786229c77839a67.jpg"/><Relationship Id="rId85146229c7784d2d7" Type="http://schemas.openxmlformats.org/officeDocument/2006/relationships/image" Target="media/imgrId85146229c7784d2d7.jpg"/><Relationship Id="rId12826229c77868836" Type="http://schemas.openxmlformats.org/officeDocument/2006/relationships/image" Target="media/imgrId12826229c77868836.jpg"/><Relationship Id="rId34166229c778852af" Type="http://schemas.openxmlformats.org/officeDocument/2006/relationships/image" Target="media/imgrId34166229c778852af.jpg"/><Relationship Id="rId23726229c778a2e24" Type="http://schemas.openxmlformats.org/officeDocument/2006/relationships/image" Target="media/imgrId23726229c778a2e24.jpg"/><Relationship Id="rId26076229c778b7d7a" Type="http://schemas.openxmlformats.org/officeDocument/2006/relationships/image" Target="media/imgrId26076229c778b7d7a.jpg"/><Relationship Id="rId61666229c778cf84f" Type="http://schemas.openxmlformats.org/officeDocument/2006/relationships/image" Target="media/imgrId61666229c778cf84f.jpg"/><Relationship Id="rId11756229c778e7a8d" Type="http://schemas.openxmlformats.org/officeDocument/2006/relationships/image" Target="media/imgrId11756229c778e7a8d.jpg"/><Relationship Id="rId32116229c779161c9" Type="http://schemas.openxmlformats.org/officeDocument/2006/relationships/image" Target="media/imgrId32116229c779161c9.jpg"/><Relationship Id="rId69276229c7793c3c7" Type="http://schemas.openxmlformats.org/officeDocument/2006/relationships/image" Target="media/imgrId69276229c7793c3c7.jpg"/><Relationship Id="rId31836229c77979035" Type="http://schemas.openxmlformats.org/officeDocument/2006/relationships/image" Target="media/imgrId31836229c77979035.jpg"/><Relationship Id="rId19656229c77998d12" Type="http://schemas.openxmlformats.org/officeDocument/2006/relationships/image" Target="media/imgrId19656229c77998d12.jpg"/><Relationship Id="rId80366229c779c5e02" Type="http://schemas.openxmlformats.org/officeDocument/2006/relationships/image" Target="media/imgrId80366229c779c5e02.jpg"/><Relationship Id="rId37066229c779e8afb" Type="http://schemas.openxmlformats.org/officeDocument/2006/relationships/image" Target="media/imgrId37066229c779e8afb.jpg"/><Relationship Id="rId38826229c77a17aa7" Type="http://schemas.openxmlformats.org/officeDocument/2006/relationships/image" Target="media/imgrId38826229c77a17aa7.jpg"/><Relationship Id="rId47796229c77a3cb04" Type="http://schemas.openxmlformats.org/officeDocument/2006/relationships/image" Target="media/imgrId47796229c77a3cb04.jpg"/><Relationship Id="rId64126229c77a5e00c" Type="http://schemas.openxmlformats.org/officeDocument/2006/relationships/image" Target="media/imgrId64126229c77a5e00c.jpg"/><Relationship Id="rId82726229c77a7773c" Type="http://schemas.openxmlformats.org/officeDocument/2006/relationships/image" Target="media/imgrId82726229c77a7773c.jpg"/><Relationship Id="rId75686229c77a93e20" Type="http://schemas.openxmlformats.org/officeDocument/2006/relationships/image" Target="media/imgrId75686229c77a93e20.jpg"/><Relationship Id="rId48756229c77aa676a" Type="http://schemas.openxmlformats.org/officeDocument/2006/relationships/image" Target="media/imgrId48756229c77aa676a.jpg"/><Relationship Id="rId43896229c77abfa0b" Type="http://schemas.openxmlformats.org/officeDocument/2006/relationships/image" Target="media/imgrId43896229c77abfa0b.jpg"/><Relationship Id="rId75466229c77ad7665" Type="http://schemas.openxmlformats.org/officeDocument/2006/relationships/image" Target="media/imgrId75466229c77ad7665.jpg"/><Relationship Id="rId67236229c77b03e2e" Type="http://schemas.openxmlformats.org/officeDocument/2006/relationships/image" Target="media/imgrId67236229c77b03e2e.jpg"/><Relationship Id="rId26226229c77b2ea84" Type="http://schemas.openxmlformats.org/officeDocument/2006/relationships/image" Target="media/imgrId26226229c77b2ea84.jpg"/><Relationship Id="rId23486229c77b509b3" Type="http://schemas.openxmlformats.org/officeDocument/2006/relationships/image" Target="media/imgrId23486229c77b509b3.jpg"/><Relationship Id="rId26846229c77b80765" Type="http://schemas.openxmlformats.org/officeDocument/2006/relationships/image" Target="media/imgrId26846229c77b80765.jpg"/><Relationship Id="rId87796229c77ba2819" Type="http://schemas.openxmlformats.org/officeDocument/2006/relationships/image" Target="media/imgrId87796229c77ba2819.jpg"/><Relationship Id="rId24226229c77bc2ff5" Type="http://schemas.openxmlformats.org/officeDocument/2006/relationships/image" Target="media/imgrId24226229c77bc2ff5.jpg"/><Relationship Id="rId34826229c77be1abc" Type="http://schemas.openxmlformats.org/officeDocument/2006/relationships/image" Target="media/imgrId34826229c77be1abc.jpg"/><Relationship Id="rId27186229c77c0e415" Type="http://schemas.openxmlformats.org/officeDocument/2006/relationships/image" Target="media/imgrId27186229c77c0e415.jpg"/><Relationship Id="rId50856229c77c2bc5c" Type="http://schemas.openxmlformats.org/officeDocument/2006/relationships/image" Target="media/imgrId50856229c77c2bc5c.jpg"/><Relationship Id="rId41436229c77c4cd05" Type="http://schemas.openxmlformats.org/officeDocument/2006/relationships/image" Target="media/imgrId41436229c77c4cd05.jpg"/><Relationship Id="rId32436229c77c70895" Type="http://schemas.openxmlformats.org/officeDocument/2006/relationships/image" Target="media/imgrId32436229c77c70895.png"/><Relationship Id="rId26516229c77c8c115" Type="http://schemas.openxmlformats.org/officeDocument/2006/relationships/image" Target="media/imgrId26516229c77c8c115.jpg"/><Relationship Id="rId87086229c77cac1ab" Type="http://schemas.openxmlformats.org/officeDocument/2006/relationships/image" Target="media/imgrId87086229c77cac1ab.jpg"/><Relationship Id="rId17286229c77cc817f" Type="http://schemas.openxmlformats.org/officeDocument/2006/relationships/image" Target="media/imgrId17286229c77cc817f.jpg"/><Relationship Id="rId10586229c77ce1eff" Type="http://schemas.openxmlformats.org/officeDocument/2006/relationships/image" Target="media/imgrId10586229c77ce1eff.jpg"/><Relationship Id="rId55846229c77d0f910" Type="http://schemas.openxmlformats.org/officeDocument/2006/relationships/image" Target="media/imgrId55846229c77d0f910.jpg"/><Relationship Id="rId88696229c77d2665c" Type="http://schemas.openxmlformats.org/officeDocument/2006/relationships/image" Target="media/imgrId88696229c77d2665c.jpg"/><Relationship Id="rId91166229c77d3b185" Type="http://schemas.openxmlformats.org/officeDocument/2006/relationships/image" Target="media/imgrId91166229c77d3b185.jpg"/><Relationship Id="rId90796229c77d4ddc3" Type="http://schemas.openxmlformats.org/officeDocument/2006/relationships/image" Target="media/imgrId90796229c77d4ddc3.jpg"/><Relationship Id="rId62956229c77d6228b" Type="http://schemas.openxmlformats.org/officeDocument/2006/relationships/image" Target="media/imgrId62956229c77d6228b.jpg"/><Relationship Id="rId46886229c77d79338" Type="http://schemas.openxmlformats.org/officeDocument/2006/relationships/image" Target="media/imgrId46886229c77d79338.jpg"/><Relationship Id="rId63926229c77d96fe6" Type="http://schemas.openxmlformats.org/officeDocument/2006/relationships/image" Target="media/imgrId63926229c77d96fe6.jpg"/><Relationship Id="rId44366229c77daeb7a" Type="http://schemas.openxmlformats.org/officeDocument/2006/relationships/image" Target="media/imgrId44366229c77daeb7a.jpg"/><Relationship Id="rId60196229c77dd1f6e" Type="http://schemas.openxmlformats.org/officeDocument/2006/relationships/image" Target="media/imgrId60196229c77dd1f6e.jpg"/><Relationship Id="rId65716229c77de7702" Type="http://schemas.openxmlformats.org/officeDocument/2006/relationships/image" Target="media/imgrId65716229c77de7702.jpg"/><Relationship Id="rId12466229c77e0e8b8" Type="http://schemas.openxmlformats.org/officeDocument/2006/relationships/image" Target="media/imgrId12466229c77e0e8b8.jpg"/><Relationship Id="rId88826229c77e24c06" Type="http://schemas.openxmlformats.org/officeDocument/2006/relationships/image" Target="media/imgrId88826229c77e24c06.jpg"/><Relationship Id="rId15956229c77e3c4bf" Type="http://schemas.openxmlformats.org/officeDocument/2006/relationships/image" Target="media/imgrId15956229c77e3c4bf.jpg"/><Relationship Id="rId78796229c77e5259d" Type="http://schemas.openxmlformats.org/officeDocument/2006/relationships/image" Target="media/imgrId78796229c77e5259d.jpg"/><Relationship Id="rId46526229c77e6c8ed" Type="http://schemas.openxmlformats.org/officeDocument/2006/relationships/image" Target="media/imgrId46526229c77e6c8ed.jpg"/><Relationship Id="rId91466229c77e8427f" Type="http://schemas.openxmlformats.org/officeDocument/2006/relationships/image" Target="media/imgrId91466229c77e8427f.jpg"/><Relationship Id="rId58056229c77e9a2c8" Type="http://schemas.openxmlformats.org/officeDocument/2006/relationships/image" Target="media/imgrId58056229c77e9a2c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7047135" Type="http://schemas.openxmlformats.org/officeDocument/2006/relationships/image" Target="media/imgrId7704713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7047135" Type="http://schemas.openxmlformats.org/officeDocument/2006/relationships/image" Target="media/imgrId7704713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7047135" Type="http://schemas.openxmlformats.org/officeDocument/2006/relationships/image" Target="media/imgrId7704713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7047135" Type="http://schemas.openxmlformats.org/officeDocument/2006/relationships/image" Target="media/imgrId7704713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7047135" Type="http://schemas.openxmlformats.org/officeDocument/2006/relationships/image" Target="media/imgrId7704713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7047135" Type="http://schemas.openxmlformats.org/officeDocument/2006/relationships/image" Target="media/imgrId7704713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