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KSD 1403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807200" cy="5110480"/>
            <wp:effectExtent l="0" t="127000" r="0" b="0"/>
            <wp:docPr id="3565151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5021668" cstate="print"/>
                    <a:stretch>
                      <a:fillRect/>
                    </a:stretch>
                  </pic:blipFill>
                  <pic:spPr>
                    <a:xfrm>
                      <a:off x="0" y="0"/>
                      <a:ext cx="6807200" cy="511048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7409202" w:name="ctxt"/>
    <w:bookmarkEnd w:id="47409202"/>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- 2 valvole per cilindro;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indiretta.</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3"/>
                    </w:rPr>
                    <w:drawing>
                      <wp:inline distT="0" distB="0" distL="0" distR="0">
                        <wp:extent cx="2160000" cy="864000"/>
                        <wp:effectExtent b="0" l="0" r="0" t="0"/>
                        <wp:docPr id="68348636" name="name2634626128b20ba97" descr="Cap_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2_01.png"/>
                                <pic:cNvPicPr/>
                              </pic:nvPicPr>
                              <pic:blipFill>
                                <a:blip r:embed="rId1453626128b20ba91" cstate="print"/>
                                <a:stretch>
                                  <a:fillRect/>
                                </a:stretch>
                              </pic:blipFill>
                              <pic:spPr>
                                <a:xfrm>
                                  <a:off x="0" y="0"/>
                                  <a:ext cx="2160000" cy="864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NA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TC</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81</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90</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1391</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Compact Sump</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3.72</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Deep Sump</w:t>
                  </w:r>
                </w:p>
              </w:tc>
              <w:tc>
                <w:tcPr>
                  <w:gridSpan w:val="1"/>
                  <w:vMerge w:val="continue"/>
                  <w:tcBorders>
                    <w:top w:val="single" w:color="FFFFFF" w:sz="5"/>
                    <w:left w:val="single" w:color="FFFFFF" w:sz="5"/>
                    <w:bottom w:val="single" w:color="FFFFFF" w:sz="5"/>
                    <w:right w:val="single" w:color="FFFFFF" w:sz="5"/>
                  </w:tcBorders>
                </w:tcP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5.44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126</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Ingombro motori (mm)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KSD 1403 NA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KSD 1403 TC</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NOTA</w:t>
      </w:r>
      <w:r>
        <w:rPr>
          <w:color w:val="00274C"/>
          <w:sz w:val="20"/>
          <w:szCs w:val="20"/>
          <w:u w:val="none"/>
        </w:rPr>
        <w:t xml:space="preserve"> : le quote di ingombro variano in base alla configurazione del motore.</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405477" name="name2168626128b21fc2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82626128b21fc1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1239"/>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1239"/>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1239"/>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1239"/>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1239"/>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409260" name="name6320626128b23681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145626128b23681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1239"/>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1239"/>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1239"/>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7958626128b23732b"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21239"/>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1239"/>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OLIO PRESCRITTO</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1239"/>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21239"/>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21239"/>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112994" name="name5205626128b24da5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66626128b24da4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1239"/>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1239"/>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828990" name="name9848626128b25ab35"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412626128b25ab2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1239"/>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w:t>
      </w:r>
    </w:p>
    <w:p>
      <w:pPr>
        <w:numPr>
          <w:ilvl w:val="0"/>
          <w:numId w:val="21239"/>
        </w:numPr>
        <w:spacing w:before="0" w:after="0" w:line="240" w:lineRule="auto"/>
        <w:jc w:val="left"/>
        <w:rPr>
          <w:color w:val="00274C"/>
          <w:sz w:val="20"/>
          <w:szCs w:val="20"/>
        </w:rPr>
      </w:pPr>
      <w:r>
        <w:rPr>
          <w:color w:val="00274C"/>
          <w:sz w:val="20"/>
          <w:szCs w:val="20"/>
          <w:u w:val="none"/>
        </w:rPr>
        <w:t xml:space="preserve">Pulire immediatamente qualsiasi fuoriuscita di carburante durante il rifornimento.</w:t>
      </w:r>
    </w:p>
    <w:p>
      <w:pPr>
        <w:numPr>
          <w:ilvl w:val="0"/>
          <w:numId w:val="21239"/>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Paese</w:t>
            </w:r>
          </w:p>
        </w:tc>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EU</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USA (ASTM D 975)</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altri paesi</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tipo di carburante</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56"/>
              </w:rPr>
              <w:drawing>
                <wp:inline distT="0" distB="0" distL="0" distR="0">
                  <wp:extent cx="770400" cy="770400"/>
                  <wp:effectExtent b="0" l="0" r="0" t="0"/>
                  <wp:docPr id="1787394" name="name3885626128b26b342" desc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png"/>
                          <pic:cNvPicPr/>
                        </pic:nvPicPr>
                        <pic:blipFill>
                          <a:blip r:embed="rId1389626128b26b33c"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590)</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56"/>
              </w:rPr>
              <w:drawing>
                <wp:inline distT="0" distB="0" distL="0" distR="0">
                  <wp:extent cx="770400" cy="770400"/>
                  <wp:effectExtent b="0" l="0" r="0" t="0"/>
                  <wp:docPr id="16694393" name="name9671626128b27b545" descr="x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l.png"/>
                          <pic:cNvPicPr/>
                        </pic:nvPicPr>
                        <pic:blipFill>
                          <a:blip r:embed="rId6129626128b27b541"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15940)</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Grade 1-D S15</w:t>
            </w:r>
            <w:r>
              <w:rPr>
                <w:color w:val="00274C"/>
                <w:position w:val="-2"/>
                <w:sz w:val="20"/>
                <w:szCs w:val="20"/>
                <w:u w:val="none"/>
              </w:rPr>
              <w:br/>
              <w:t xml:space="preserve">Grade 2-D S15</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color w:val="00274C"/>
                <w:position w:val="-2"/>
                <w:sz w:val="20"/>
                <w:szCs w:val="20"/>
                <w:u w:val="none"/>
              </w:rPr>
              <w:t xml:space="preserve">NATO F-54 (equivalente al carburante diesel in conformità alla norma EN 590)</w:t>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590 o ASTM D 975 Grado 1, 2 -D S15 Diesel artico</w:t>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JIS K 2204 N. 1, N. 2</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1239"/>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1239"/>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57372112" name="name3524626128b28ea7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405626128b28ea7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21239"/>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1239"/>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p>
      <w:pPr>
        <w:widowControl w:val="on"/>
        <w:pBdr/>
        <w:spacing w:before="0" w:after="0" w:line="262" w:lineRule="auto"/>
        <w:ind w:left="0" w:right="0"/>
        <w:jc w:val="left"/>
        <w:textDirection w:val="lrTb"/>
      </w:pPr>
      <w:r>
        <w:rPr>
          <w:b/>
          <w:bCs/>
          <w:color w:val="00274C"/>
          <w:sz w:val="20"/>
          <w:szCs w:val="20"/>
          <w:u w:val="none"/>
        </w:rPr>
        <w:t xml:space="preserve">Batteria non di fornitura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240">
    <w:multiLevelType w:val="hybridMultilevel"/>
    <w:lvl w:ilvl="0" w:tplc="40634675">
      <w:start w:val="1"/>
      <w:numFmt w:val="decimal"/>
      <w:lvlText w:val="%1."/>
      <w:lvlJc w:val="left"/>
      <w:pPr>
        <w:ind w:left="720" w:hanging="360"/>
      </w:pPr>
    </w:lvl>
    <w:lvl w:ilvl="1" w:tplc="40634675" w:tentative="1">
      <w:start w:val="1"/>
      <w:numFmt w:val="lowerLetter"/>
      <w:lvlText w:val="%2."/>
      <w:lvlJc w:val="left"/>
      <w:pPr>
        <w:ind w:left="1440" w:hanging="360"/>
      </w:pPr>
    </w:lvl>
    <w:lvl w:ilvl="2" w:tplc="40634675" w:tentative="1">
      <w:start w:val="1"/>
      <w:numFmt w:val="lowerRoman"/>
      <w:lvlText w:val="%3."/>
      <w:lvlJc w:val="right"/>
      <w:pPr>
        <w:ind w:left="2160" w:hanging="180"/>
      </w:pPr>
    </w:lvl>
    <w:lvl w:ilvl="3" w:tplc="40634675" w:tentative="1">
      <w:start w:val="1"/>
      <w:numFmt w:val="decimal"/>
      <w:lvlText w:val="%4."/>
      <w:lvlJc w:val="left"/>
      <w:pPr>
        <w:ind w:left="2880" w:hanging="360"/>
      </w:pPr>
    </w:lvl>
    <w:lvl w:ilvl="4" w:tplc="40634675" w:tentative="1">
      <w:start w:val="1"/>
      <w:numFmt w:val="lowerLetter"/>
      <w:lvlText w:val="%5."/>
      <w:lvlJc w:val="left"/>
      <w:pPr>
        <w:ind w:left="3600" w:hanging="360"/>
      </w:pPr>
    </w:lvl>
    <w:lvl w:ilvl="5" w:tplc="40634675" w:tentative="1">
      <w:start w:val="1"/>
      <w:numFmt w:val="lowerRoman"/>
      <w:lvlText w:val="%6."/>
      <w:lvlJc w:val="right"/>
      <w:pPr>
        <w:ind w:left="4320" w:hanging="180"/>
      </w:pPr>
    </w:lvl>
    <w:lvl w:ilvl="6" w:tplc="40634675" w:tentative="1">
      <w:start w:val="1"/>
      <w:numFmt w:val="decimal"/>
      <w:lvlText w:val="%7."/>
      <w:lvlJc w:val="left"/>
      <w:pPr>
        <w:ind w:left="5040" w:hanging="360"/>
      </w:pPr>
    </w:lvl>
    <w:lvl w:ilvl="7" w:tplc="40634675" w:tentative="1">
      <w:start w:val="1"/>
      <w:numFmt w:val="lowerLetter"/>
      <w:lvlText w:val="%8."/>
      <w:lvlJc w:val="left"/>
      <w:pPr>
        <w:ind w:left="5760" w:hanging="360"/>
      </w:pPr>
    </w:lvl>
    <w:lvl w:ilvl="8" w:tplc="40634675" w:tentative="1">
      <w:start w:val="1"/>
      <w:numFmt w:val="lowerRoman"/>
      <w:lvlText w:val="%9."/>
      <w:lvlJc w:val="right"/>
      <w:pPr>
        <w:ind w:left="6480" w:hanging="180"/>
      </w:pPr>
    </w:lvl>
  </w:abstractNum>
  <w:abstractNum w:abstractNumId="21239">
    <w:multiLevelType w:val="hybridMultilevel"/>
    <w:lvl w:ilvl="0" w:tplc="674608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239">
    <w:abstractNumId w:val="21239"/>
  </w:num>
  <w:num w:numId="21240">
    <w:abstractNumId w:val="212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38269872" Type="http://schemas.openxmlformats.org/officeDocument/2006/relationships/comments" Target="comments.xml"/><Relationship Id="rId680208805" Type="http://schemas.microsoft.com/office/2011/relationships/commentsExtended" Target="commentsExtended.xml"/><Relationship Id="rId45021668" Type="http://schemas.openxmlformats.org/officeDocument/2006/relationships/image" Target="media/imgrId45021668.jpg"/><Relationship Id="rId7958626128b23732b" Type="http://schemas.openxmlformats.org/officeDocument/2006/relationships/hyperlink" Target="https://iservice.lombardini.it/jsp/Template2/manuale.jsp?id=203&amp;parent=1000" TargetMode="External"/><Relationship Id="rId1453626128b20ba91" Type="http://schemas.openxmlformats.org/officeDocument/2006/relationships/image" Target="media/imgrId1453626128b20ba91.png"/><Relationship Id="rId5382626128b21fc1b" Type="http://schemas.openxmlformats.org/officeDocument/2006/relationships/image" Target="media/imgrId5382626128b21fc1b.jpg"/><Relationship Id="rId2145626128b236812" Type="http://schemas.openxmlformats.org/officeDocument/2006/relationships/image" Target="media/imgrId2145626128b236812.jpg"/><Relationship Id="rId3466626128b24da4e" Type="http://schemas.openxmlformats.org/officeDocument/2006/relationships/image" Target="media/imgrId3466626128b24da4e.jpg"/><Relationship Id="rId3412626128b25ab2f" Type="http://schemas.openxmlformats.org/officeDocument/2006/relationships/image" Target="media/imgrId3412626128b25ab2f.jpg"/><Relationship Id="rId1389626128b26b33c" Type="http://schemas.openxmlformats.org/officeDocument/2006/relationships/image" Target="media/imgrId1389626128b26b33c.png"/><Relationship Id="rId6129626128b27b541" Type="http://schemas.openxmlformats.org/officeDocument/2006/relationships/image" Target="media/imgrId6129626128b27b541.png"/><Relationship Id="rId2405626128b28ea72" Type="http://schemas.openxmlformats.org/officeDocument/2006/relationships/image" Target="media/imgrId2405626128b28ea7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5021668" Type="http://schemas.openxmlformats.org/officeDocument/2006/relationships/image" Target="media/imgrId4502166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5021668" Type="http://schemas.openxmlformats.org/officeDocument/2006/relationships/image" Target="media/imgrId4502166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5021668" Type="http://schemas.openxmlformats.org/officeDocument/2006/relationships/image" Target="media/imgrId4502166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5021668" Type="http://schemas.openxmlformats.org/officeDocument/2006/relationships/image" Target="media/imgrId4502166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5021668" Type="http://schemas.openxmlformats.org/officeDocument/2006/relationships/image" Target="media/imgrId4502166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5021668" Type="http://schemas.openxmlformats.org/officeDocument/2006/relationships/image" Target="media/imgrId4502166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