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Owner Manual</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807200" cy="5110480"/>
            <wp:effectExtent l="0" t="127000" r="0" b="0"/>
            <wp:docPr id="36040156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252512" cstate="print"/>
                    <a:stretch>
                      <a:fillRect/>
                    </a:stretch>
                  </pic:blipFill>
                  <pic:spPr>
                    <a:xfrm>
                      <a:off x="0" y="0"/>
                      <a:ext cx="6807200" cy="511048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7530633" w:name="ctxt"/>
    <w:bookmarkEnd w:id="5753063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- 2 valves per cylinder;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3"/>
                    </w:rPr>
                    <w:drawing>
                      <wp:inline distT="0" distB="0" distL="0" distR="0">
                        <wp:extent cx="2160000" cy="864000"/>
                        <wp:effectExtent b="0" l="0" r="0" t="0"/>
                        <wp:docPr id="87412102" name="name2299628b7e1b581de" descr="Cap_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2_01.png"/>
                                <pic:cNvPicPr/>
                              </pic:nvPicPr>
                              <pic:blipFill>
                                <a:blip r:embed="rId8945628b7e1b581d9" cstate="print"/>
                                <a:stretch>
                                  <a:fillRect/>
                                </a:stretch>
                              </pic:blipFill>
                              <pic:spPr>
                                <a:xfrm>
                                  <a:off x="0" y="0"/>
                                  <a:ext cx="2160000" cy="864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NA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TC</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81</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90</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1391</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w:t>
                  </w:r>
                  <w:bookmarkStart w:id="23268482" w:name="result_box"/>
                  <w:bookmarkEnd w:id="23268482"/>
                  <w:r>
                    <w:rPr>
                      <w:color w:val="00274C"/>
                      <w:position w:val="-2"/>
                      <w:sz w:val="20"/>
                      <w:szCs w:val="20"/>
                      <w:u w:val="none"/>
                      <w:shd w:val="clear" w:color="auto" w:fill="E1E2E0"/>
                    </w:rPr>
                    <w:t xml:space="preserve">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w:t>
                  </w:r>
                  <w:bookmarkStart w:id="13615506" w:name="result_box"/>
                  <w:bookmarkEnd w:id="13615506"/>
                  <w:r>
                    <w:rPr>
                      <w:color w:val="00274C"/>
                      <w:position w:val="-2"/>
                      <w:sz w:val="20"/>
                      <w:szCs w:val="20"/>
                      <w:u w:val="none"/>
                      <w:shd w:val="clear" w:color="auto" w:fill="E1E2E0"/>
                    </w:rPr>
                    <w:t xml:space="preserve">min.</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Compact Sump</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3.72</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Deep Sump</w:t>
                  </w:r>
                </w:p>
              </w:tc>
              <w:tc>
                <w:tcPr>
                  <w:gridSpan w:val="1"/>
                  <w:vMerge w:val="continue"/>
                  <w:tcBorders>
                    <w:top w:val="single" w:color="FFFFFF" w:sz="5"/>
                    <w:left w:val="single" w:color="FFFFFF" w:sz="5"/>
                    <w:bottom w:val="single" w:color="FFFFFF" w:sz="5"/>
                    <w:right w:val="single" w:color="FFFFFF" w:sz="5"/>
                  </w:tcBorders>
                </w:tcP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5.44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126</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KSD 1403 NA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KSD 1403 TC</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046411" name="name5144628b7e1b6450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600628b7e1b6450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37"/>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337"/>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337"/>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337"/>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337"/>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51512" name="name2606628b7e1b6fa0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753628b7e1b6f9f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37"/>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337"/>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337"/>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337"/>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337"/>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or better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5w-30 (-30°C ÷ +40°C)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10w-30 (-25°C ÷ +40°C)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p>
      <w:pPr>
        <w:widowControl w:val="on"/>
        <w:pBdr/>
        <w:spacing w:before="225" w:after="225" w:line="262" w:lineRule="auto"/>
        <w:ind w:left="0" w:right="0"/>
        <w:jc w:val="left"/>
      </w:pPr>
      <w:r>
        <w:drawing>
          <wp:inline distT="0" distB="0" distL="0" distR="0">
            <wp:extent cx="324000" cy="324000"/>
            <wp:effectExtent b="0" l="0" r="0" t="0"/>
            <wp:docPr id="9906777" name="name8621628b7e1b7b11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743628b7e1b7b11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Important</w:t>
      </w:r>
    </w:p>
    <w:p>
      <w:pPr>
        <w:numPr>
          <w:ilvl w:val="0"/>
          <w:numId w:val="2337"/>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337"/>
        </w:numPr>
        <w:spacing w:before="0" w:after="0" w:line="240" w:lineRule="auto"/>
        <w:jc w:val="left"/>
        <w:rPr>
          <w:color w:val="00274C"/>
          <w:sz w:val="20"/>
          <w:szCs w:val="20"/>
        </w:rPr>
      </w:pPr>
      <w:r>
        <w:rPr>
          <w:color w:val="00274C"/>
          <w:sz w:val="20"/>
          <w:szCs w:val="20"/>
          <w:u w:val="none"/>
        </w:rPr>
        <w:t xml:space="preserve">Any failures resulting from the use of fuels other than recommended will not be warranted.</w:t>
      </w:r>
    </w:p>
    <w:p>
      <w:pPr>
        <w:widowControl w:val="on"/>
        <w:pBdr/>
        <w:spacing w:before="225" w:after="225" w:line="262" w:lineRule="auto"/>
        <w:ind w:left="0" w:right="0"/>
        <w:jc w:val="left"/>
      </w:pPr>
      <w:r>
        <w:drawing>
          <wp:inline distT="0" distB="0" distL="0" distR="0">
            <wp:extent cx="324000" cy="324000"/>
            <wp:effectExtent b="0" l="0" r="0" t="0"/>
            <wp:docPr id="55019219" name="name3611628b7e1bab55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387628b7e1bab55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Warning</w:t>
      </w:r>
    </w:p>
    <w:p>
      <w:pPr>
        <w:numPr>
          <w:ilvl w:val="0"/>
          <w:numId w:val="2337"/>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 </w:t>
      </w:r>
    </w:p>
    <w:p>
      <w:pPr>
        <w:numPr>
          <w:ilvl w:val="0"/>
          <w:numId w:val="2337"/>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NOTE:</w:t>
      </w:r>
    </w:p>
    <w:p>
      <w:pPr>
        <w:widowControl w:val="on"/>
        <w:pBdr/>
        <w:spacing w:before="0" w:after="0" w:line="262" w:lineRule="auto"/>
        <w:ind w:left="0" w:right="0"/>
        <w:jc w:val="left"/>
      </w:pPr>
      <w:r>
        <w:rPr>
          <w:b/>
          <w:bCs/>
          <w:color w:val="00274C"/>
          <w:sz w:val="20"/>
          <w:szCs w:val="20"/>
          <w:u w:val="none"/>
        </w:rPr>
        <w:t xml:space="preserve">In a warranty case the customer must prove by a certificate from the fuel supplier that an allowed fuel was used.</w:t>
      </w:r>
    </w:p>
    <w:p>
      <w:pPr>
        <w:widowControl w:val="on"/>
        <w:pBdr/>
        <w:spacing w:before="0" w:after="0" w:line="262" w:lineRule="auto"/>
        <w:ind w:left="0" w:right="0"/>
        <w:jc w:val="left"/>
      </w:pPr>
      <w:r>
        <w:rPr>
          <w:b/>
          <w:bCs/>
          <w:color w:val="00274C"/>
          <w:sz w:val="20"/>
          <w:szCs w:val="20"/>
          <w:u w:val="none"/>
        </w:rPr>
        <w:t xml:space="preserve">Do NOT USE vegetable oils. Biofuel contents limit as specified by EN590 and ASTMD975. Any failure resulting from the use of fuel other than recommended will not be warranted.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rFonts w:ascii="Arial" w:hAnsi="Arial" w:eastAsia="Arial" w:cs="Arial"/>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no certification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NOTES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NATO F-54 --&gt;</w:t>
            </w:r>
          </w:p>
          <w:p/>
          <w:p/>
        </w:tc>
        <w:tc>
          <w:tcPr>
            <w:tcW w:w="0" w:type="auto"/>
            <w:tcMar>
              <w:top w:w="150" w:type="dxa"/>
              <w:left w:w="150" w:type="dxa"/>
              <w:bottom w:w="150" w:type="dxa"/>
              <w:right w:w="150" w:type="dxa"/>
            </w:tcMar>
            <w:vAlign w:val="top"/>
          </w:tcPr>
          <w:p>
            <w:pPr>
              <w:widowControl w:val="on"/>
              <w:pBdr/>
              <w:spacing w:before="0" w:after="0" w:line="262" w:lineRule="auto"/>
              <w:ind w:left="0" w:right="0"/>
              <w:jc w:val="center"/>
              <w:textAlignment w:val="top"/>
            </w:pPr>
            <w:r>
              <w:rPr>
                <w:color w:val="00274C"/>
                <w:position w:val="0"/>
                <w:sz w:val="20"/>
                <w:szCs w:val="20"/>
                <w:u w:val="none"/>
              </w:rPr>
              <w:t xml:space="preserve">(S = 10 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EN 590, DIN 51628 --&gt;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(S=10ppm)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1-D S15 --&gt;</w:t>
            </w:r>
          </w:p>
        </w:tc>
        <w:tc>
          <w:tcPr>
            <w:tcW w:w="0" w:type="auto"/>
            <w:tcMar>
              <w:top w:w="150" w:type="dxa"/>
              <w:left w:w="150" w:type="dxa"/>
              <w:bottom w:w="150" w:type="dxa"/>
              <w:right w:w="150" w:type="dxa"/>
            </w:tcMar>
            <w:vAlign w:val="top"/>
          </w:tcPr>
          <w:p>
            <w:pPr>
              <w:widowControl w:val="on"/>
              <w:pBdr/>
              <w:spacing w:before="0" w:after="0" w:line="262" w:lineRule="auto"/>
              <w:ind w:left="0" w:right="0"/>
              <w:jc w:val="center"/>
              <w:textAlignment w:val="top"/>
            </w:pPr>
            <w:r>
              <w:rPr>
                <w:color w:val="00274C"/>
                <w:position w:val="0"/>
                <w:sz w:val="20"/>
                <w:szCs w:val="20"/>
                <w:u w:val="none"/>
              </w:rPr>
              <w:t xml:space="preserve">Recommended fuel type for cold weather operation in ambient temperatures, which would result in DF2 “waxing”. No degradation in performance or engine/ component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1-D S1500 --&gt;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cold weather operation in ambient temperatures, which would result in DF2 “waxing”. No degradation in performance or engine/ component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2-D S15 --&gt;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normal ambient operation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ASTM D 975 Grade 2-D S1500 --&gt;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normal ambient operation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56"/>
              </w:rPr>
              <w:drawing>
                <wp:inline distT="0" distB="0" distL="0" distR="0">
                  <wp:extent cx="770400" cy="770400"/>
                  <wp:effectExtent b="0" l="0" r="0" t="0"/>
                  <wp:docPr id="32998867" name="name7041628b7e1bbbfa1" descr="x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l.png"/>
                          <pic:cNvPicPr/>
                        </pic:nvPicPr>
                        <pic:blipFill>
                          <a:blip r:embed="rId9920628b7e1bbbf9d"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HVO 100%</w:t>
            </w:r>
          </w:p>
          <w:p>
            <w:pPr>
              <w:widowControl w:val="on"/>
              <w:pBdr/>
              <w:spacing w:before="0" w:after="0" w:line="262" w:lineRule="auto"/>
              <w:ind w:left="0" w:right="0"/>
              <w:jc w:val="center"/>
              <w:textAlignment w:val="center"/>
            </w:pPr>
            <w:r>
              <w:rPr>
                <w:color w:val="00274C"/>
                <w:position w:val="-2"/>
                <w:sz w:val="20"/>
                <w:szCs w:val="20"/>
                <w:u w:val="none"/>
              </w:rPr>
              <w:t xml:space="preserve">(EN 15940)</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r>
        <w:rPr>
          <w:b/>
          <w:bCs/>
          <w:color w:val="00274C"/>
          <w:sz w:val="20"/>
          <w:szCs w:val="20"/>
          <w:u w:val="none"/>
        </w:rPr>
        <w:t xml:space="preserve">Fuel for low temperatures</w:t>
      </w:r>
    </w:p>
    <w:p>
      <w:pPr>
        <w:widowControl w:val="on"/>
        <w:pBdr/>
        <w:spacing w:before="0" w:after="0" w:line="262" w:lineRule="auto"/>
        <w:ind w:left="0" w:right="0"/>
        <w:jc w:val="left"/>
      </w:pPr>
      <w:r>
        <w:rPr>
          <w:color w:val="00274C"/>
          <w:sz w:val="20"/>
          <w:szCs w:val="20"/>
          <w:u w:val="none"/>
        </w:rPr>
        <w:t xml:space="preserve"> </w:t>
      </w:r>
    </w:p>
    <w:p>
      <w:pPr>
        <w:numPr>
          <w:ilvl w:val="0"/>
          <w:numId w:val="2337"/>
        </w:numPr>
        <w:spacing w:before="0" w:after="0" w:line="240" w:lineRule="auto"/>
        <w:jc w:val="left"/>
        <w:rPr>
          <w:color w:val="00274C"/>
          <w:sz w:val="20"/>
          <w:szCs w:val="20"/>
        </w:rPr>
      </w:pPr>
      <w:r>
        <w:rPr>
          <w:color w:val="00274C"/>
          <w:sz w:val="20"/>
          <w:szCs w:val="20"/>
          <w:u w:val="none"/>
        </w:rPr>
        <w:t xml:space="preserve">When operating the engine in ambient temperatures lower than 0°C, use suitable low temperature fuel normally available from fuel distributors and corresponding to the specifications of Tab. 2.7.</w:t>
      </w:r>
    </w:p>
    <w:p>
      <w:pPr>
        <w:numPr>
          <w:ilvl w:val="0"/>
          <w:numId w:val="2337"/>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2337"/>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It is possible to run the engine at temperatures below 0°C using special winter fuels. These fuels reduce the formation of paraffin in diesel at low temperatures. If paraffin forms in the diesel, the fuel filter becomes clogged interrupting the fuel flow.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Fuel can be: *</w:t>
      </w:r>
    </w:p>
    <w:p>
      <w:pPr>
        <w:numPr>
          <w:ilvl w:val="0"/>
          <w:numId w:val="2337"/>
        </w:numPr>
        <w:spacing w:before="0" w:after="0" w:line="240" w:lineRule="auto"/>
        <w:jc w:val="left"/>
        <w:rPr>
          <w:color w:val="00274C"/>
          <w:sz w:val="20"/>
          <w:szCs w:val="20"/>
        </w:rPr>
      </w:pPr>
      <w:r>
        <w:rPr>
          <w:color w:val="00274C"/>
          <w:sz w:val="20"/>
          <w:szCs w:val="20"/>
          <w:u w:val="none"/>
        </w:rPr>
        <w:t xml:space="preserve">Summer down to 0°C *</w:t>
      </w:r>
    </w:p>
    <w:p>
      <w:pPr>
        <w:numPr>
          <w:ilvl w:val="0"/>
          <w:numId w:val="2337"/>
        </w:numPr>
        <w:spacing w:before="0" w:after="0" w:line="240" w:lineRule="auto"/>
        <w:jc w:val="left"/>
        <w:rPr>
          <w:color w:val="00274C"/>
          <w:sz w:val="20"/>
          <w:szCs w:val="20"/>
        </w:rPr>
      </w:pPr>
      <w:r>
        <w:rPr>
          <w:color w:val="00274C"/>
          <w:sz w:val="20"/>
          <w:szCs w:val="20"/>
          <w:u w:val="none"/>
        </w:rPr>
        <w:t xml:space="preserve">Winter down to -15°C *</w:t>
      </w:r>
    </w:p>
    <w:p>
      <w:pPr>
        <w:numPr>
          <w:ilvl w:val="0"/>
          <w:numId w:val="2337"/>
        </w:numPr>
        <w:spacing w:before="0" w:after="0" w:line="240" w:lineRule="auto"/>
        <w:jc w:val="left"/>
        <w:rPr>
          <w:color w:val="00274C"/>
          <w:sz w:val="20"/>
          <w:szCs w:val="20"/>
        </w:rPr>
      </w:pPr>
      <w:r>
        <w:rPr>
          <w:color w:val="00274C"/>
          <w:sz w:val="20"/>
          <w:szCs w:val="20"/>
          <w:u w:val="none"/>
        </w:rPr>
        <w:t xml:space="preserve">Arctic below -16°C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Biodiesel fuel *</w:t>
      </w:r>
    </w:p>
    <w:p>
      <w:pPr>
        <w:numPr>
          <w:ilvl w:val="0"/>
          <w:numId w:val="2337"/>
        </w:numPr>
        <w:spacing w:before="0" w:after="0" w:line="240" w:lineRule="auto"/>
        <w:jc w:val="left"/>
        <w:rPr>
          <w:color w:val="00274C"/>
          <w:sz w:val="20"/>
          <w:szCs w:val="20"/>
        </w:rPr>
      </w:pPr>
      <w:r>
        <w:rPr>
          <w:color w:val="00274C"/>
          <w:sz w:val="20"/>
          <w:szCs w:val="20"/>
          <w:u w:val="none"/>
        </w:rPr>
        <w:t xml:space="preserve">DO NOT USE vegetable oil as a biofuel for this engine.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Biodiesel blends must be purchased from a BQ-9000 Certified Marketer and meet the American Society for Testing and Materials (ASTM) specifications for biodiesel under ASTM D6751 for North America. In Europe, biodiesel blends must meet the EN14214 standard. *</w:t>
      </w:r>
    </w:p>
    <w:p>
      <w:pPr>
        <w:widowControl w:val="on"/>
        <w:pBdr/>
        <w:spacing w:before="0" w:after="0" w:line="262" w:lineRule="auto"/>
        <w:ind w:left="0" w:right="0"/>
        <w:jc w:val="left"/>
      </w:pPr>
      <w:r>
        <w:rPr>
          <w:color w:val="00274C"/>
          <w:sz w:val="20"/>
          <w:szCs w:val="20"/>
          <w:u w:val="none"/>
        </w:rPr>
        <w:t xml:space="preserve">Biodiesel has a strong cleansing effect; hence initial use will typically result in a collection of deposits from fuel lines and the fuel tank from previous use of diesel at the fuel filter. Therefore, the fuel filter must be changed 30 to 50 hours after changing over from diesel to biodiesel. Shortened fuel filter change intervals are required and fuel dilution of lube oil is possible with the use of biodiesel. Therefore, halved shortened lube oil change intervals must be introduced. Periodic checks of hoses and seals must also be conducted. *</w:t>
      </w:r>
    </w:p>
    <w:p>
      <w:pPr>
        <w:widowControl w:val="on"/>
        <w:pBdr/>
        <w:spacing w:before="0" w:after="0" w:line="262" w:lineRule="auto"/>
        <w:ind w:left="0" w:right="0"/>
        <w:jc w:val="left"/>
      </w:pPr>
      <w:r>
        <w:rPr>
          <w:color w:val="00274C"/>
          <w:sz w:val="20"/>
          <w:szCs w:val="20"/>
          <w:u w:val="none"/>
        </w:rPr>
        <w:t xml:space="preserve">Biodiesel has a high cloud point so heating the fuel is necessary for low ambient temperature operation to avoid waxing or gelling. *</w:t>
      </w:r>
    </w:p>
    <w:p>
      <w:pPr>
        <w:widowControl w:val="on"/>
        <w:pBdr/>
        <w:spacing w:before="0" w:after="0" w:line="262" w:lineRule="auto"/>
        <w:ind w:left="0" w:right="0"/>
        <w:jc w:val="left"/>
      </w:pPr>
      <w:r>
        <w:rPr>
          <w:color w:val="00274C"/>
          <w:sz w:val="20"/>
          <w:szCs w:val="20"/>
          <w:u w:val="none"/>
        </w:rPr>
        <w:t xml:space="preserve">Engine storage with biodiesel longer than 4 to 6 weeks must be avoided.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Emission control information *</w:t>
      </w:r>
    </w:p>
    <w:p>
      <w:pPr>
        <w:numPr>
          <w:ilvl w:val="0"/>
          <w:numId w:val="2337"/>
        </w:numPr>
        <w:spacing w:before="0" w:after="0" w:line="240" w:lineRule="auto"/>
        <w:jc w:val="left"/>
        <w:rPr>
          <w:color w:val="00274C"/>
          <w:sz w:val="20"/>
          <w:szCs w:val="20"/>
        </w:rPr>
      </w:pPr>
      <w:r>
        <w:rPr>
          <w:color w:val="00274C"/>
          <w:sz w:val="20"/>
          <w:szCs w:val="20"/>
          <w:u w:val="none"/>
        </w:rPr>
        <w:t xml:space="preserve">To be Emission compliant, only ultra low sulfur fuel can be used. *</w:t>
      </w:r>
    </w:p>
    <w:p>
      <w:pPr>
        <w:numPr>
          <w:ilvl w:val="0"/>
          <w:numId w:val="2337"/>
        </w:numPr>
        <w:spacing w:before="0" w:after="0" w:line="240" w:lineRule="auto"/>
        <w:jc w:val="left"/>
        <w:rPr>
          <w:color w:val="00274C"/>
          <w:sz w:val="20"/>
          <w:szCs w:val="20"/>
        </w:rPr>
      </w:pPr>
      <w:r>
        <w:rPr>
          <w:color w:val="00274C"/>
          <w:sz w:val="20"/>
          <w:szCs w:val="20"/>
          <w:u w:val="none"/>
        </w:rPr>
        <w:t xml:space="preserve">“Only ultra low sulfur fuel” label must be attached near the fuel inlet.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37"/>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337"/>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8432535" name="name4043628b7e1bc855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490628b7e1bc854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37"/>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337"/>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8">
    <w:multiLevelType w:val="hybridMultilevel"/>
    <w:lvl w:ilvl="0" w:tplc="53384998">
      <w:start w:val="1"/>
      <w:numFmt w:val="decimal"/>
      <w:lvlText w:val="%1."/>
      <w:lvlJc w:val="left"/>
      <w:pPr>
        <w:ind w:left="720" w:hanging="360"/>
      </w:pPr>
    </w:lvl>
    <w:lvl w:ilvl="1" w:tplc="53384998" w:tentative="1">
      <w:start w:val="1"/>
      <w:numFmt w:val="lowerLetter"/>
      <w:lvlText w:val="%2."/>
      <w:lvlJc w:val="left"/>
      <w:pPr>
        <w:ind w:left="1440" w:hanging="360"/>
      </w:pPr>
    </w:lvl>
    <w:lvl w:ilvl="2" w:tplc="53384998" w:tentative="1">
      <w:start w:val="1"/>
      <w:numFmt w:val="lowerRoman"/>
      <w:lvlText w:val="%3."/>
      <w:lvlJc w:val="right"/>
      <w:pPr>
        <w:ind w:left="2160" w:hanging="180"/>
      </w:pPr>
    </w:lvl>
    <w:lvl w:ilvl="3" w:tplc="53384998" w:tentative="1">
      <w:start w:val="1"/>
      <w:numFmt w:val="decimal"/>
      <w:lvlText w:val="%4."/>
      <w:lvlJc w:val="left"/>
      <w:pPr>
        <w:ind w:left="2880" w:hanging="360"/>
      </w:pPr>
    </w:lvl>
    <w:lvl w:ilvl="4" w:tplc="53384998" w:tentative="1">
      <w:start w:val="1"/>
      <w:numFmt w:val="lowerLetter"/>
      <w:lvlText w:val="%5."/>
      <w:lvlJc w:val="left"/>
      <w:pPr>
        <w:ind w:left="3600" w:hanging="360"/>
      </w:pPr>
    </w:lvl>
    <w:lvl w:ilvl="5" w:tplc="53384998" w:tentative="1">
      <w:start w:val="1"/>
      <w:numFmt w:val="lowerRoman"/>
      <w:lvlText w:val="%6."/>
      <w:lvlJc w:val="right"/>
      <w:pPr>
        <w:ind w:left="4320" w:hanging="180"/>
      </w:pPr>
    </w:lvl>
    <w:lvl w:ilvl="6" w:tplc="53384998" w:tentative="1">
      <w:start w:val="1"/>
      <w:numFmt w:val="decimal"/>
      <w:lvlText w:val="%7."/>
      <w:lvlJc w:val="left"/>
      <w:pPr>
        <w:ind w:left="5040" w:hanging="360"/>
      </w:pPr>
    </w:lvl>
    <w:lvl w:ilvl="7" w:tplc="53384998" w:tentative="1">
      <w:start w:val="1"/>
      <w:numFmt w:val="lowerLetter"/>
      <w:lvlText w:val="%8."/>
      <w:lvlJc w:val="left"/>
      <w:pPr>
        <w:ind w:left="5760" w:hanging="360"/>
      </w:pPr>
    </w:lvl>
    <w:lvl w:ilvl="8" w:tplc="53384998" w:tentative="1">
      <w:start w:val="1"/>
      <w:numFmt w:val="lowerRoman"/>
      <w:lvlText w:val="%9."/>
      <w:lvlJc w:val="right"/>
      <w:pPr>
        <w:ind w:left="6480" w:hanging="180"/>
      </w:pPr>
    </w:lvl>
  </w:abstractNum>
  <w:abstractNum w:abstractNumId="2337">
    <w:multiLevelType w:val="hybridMultilevel"/>
    <w:lvl w:ilvl="0" w:tplc="10548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37">
    <w:abstractNumId w:val="2337"/>
  </w:num>
  <w:num w:numId="2338">
    <w:abstractNumId w:val="23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89437541" Type="http://schemas.openxmlformats.org/officeDocument/2006/relationships/comments" Target="comments.xml"/><Relationship Id="rId643290471" Type="http://schemas.microsoft.com/office/2011/relationships/commentsExtended" Target="commentsExtended.xml"/><Relationship Id="rId97252512" Type="http://schemas.openxmlformats.org/officeDocument/2006/relationships/image" Target="media/imgrId97252512.jpg"/><Relationship Id="rId8945628b7e1b581d9" Type="http://schemas.openxmlformats.org/officeDocument/2006/relationships/image" Target="media/imgrId8945628b7e1b581d9.png"/><Relationship Id="rId7600628b7e1b64507" Type="http://schemas.openxmlformats.org/officeDocument/2006/relationships/image" Target="media/imgrId7600628b7e1b64507.jpg"/><Relationship Id="rId8753628b7e1b6f9ff" Type="http://schemas.openxmlformats.org/officeDocument/2006/relationships/image" Target="media/imgrId8753628b7e1b6f9ff.jpg"/><Relationship Id="rId4743628b7e1b7b119" Type="http://schemas.openxmlformats.org/officeDocument/2006/relationships/image" Target="media/imgrId4743628b7e1b7b119.png"/><Relationship Id="rId7387628b7e1bab558" Type="http://schemas.openxmlformats.org/officeDocument/2006/relationships/image" Target="media/imgrId7387628b7e1bab558.png"/><Relationship Id="rId9920628b7e1bbbf9d" Type="http://schemas.openxmlformats.org/officeDocument/2006/relationships/image" Target="media/imgrId9920628b7e1bbbf9d.png"/><Relationship Id="rId6490628b7e1bc854f" Type="http://schemas.openxmlformats.org/officeDocument/2006/relationships/image" Target="media/imgrId6490628b7e1bc854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252512" Type="http://schemas.openxmlformats.org/officeDocument/2006/relationships/image" Target="media/imgrId9725251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252512" Type="http://schemas.openxmlformats.org/officeDocument/2006/relationships/image" Target="media/imgrId9725251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252512" Type="http://schemas.openxmlformats.org/officeDocument/2006/relationships/image" Target="media/imgrId9725251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252512" Type="http://schemas.openxmlformats.org/officeDocument/2006/relationships/image" Target="media/imgrId9725251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252512" Type="http://schemas.openxmlformats.org/officeDocument/2006/relationships/image" Target="media/imgrId9725251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252512" Type="http://schemas.openxmlformats.org/officeDocument/2006/relationships/image" Target="media/imgrId9725251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