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Utilisation et Entretien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8683390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829458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424300" w:name="ctxt"/>
    <w:bookmarkEnd w:id="5424300"/>
    <w:p>
      <w:pPr>
        <w:widowControl w:val="on"/>
        <w:pBdr/>
        <w:spacing w:before="75" w:after="75" w:line="240" w:lineRule="auto"/>
        <w:ind w:left="75" w:right="75"/>
        <w:jc w:val="left"/>
      </w:pPr>
    </w:p>
    <w:p>
      <w:pPr>
        <w:pStyle w:val="Titolo1"/>
      </w:pPr>
      <w:r>
        <w:rPr/>
        <w:t xml:space="preserve">Informations techniques</w:t>
      </w:r>
    </w:p>
    <w:p>
      <w:pPr>
        <w:widowControl w:val="on"/>
        <w:pBdr/>
        <w:spacing w:before="0" w:after="0" w:line="240" w:lineRule="auto"/>
        <w:ind w:left="0" w:right="0"/>
        <w:jc w:val="left"/>
      </w:pPr>
    </w:p>
    <w:p>
      <w:pPr>
        <w:pStyle w:val="Titolo2"/>
      </w:pPr>
      <w:r>
        <w:rPr/>
        <w:t xml:space="preserve">Description générale du moteur</w:t>
      </w:r>
    </w:p>
    <w:p>
      <w:pPr>
        <w:widowControl w:val="on"/>
        <w:pBdr/>
        <w:spacing w:before="0" w:after="0" w:line="262" w:lineRule="auto"/>
        <w:ind w:left="0" w:right="0"/>
        <w:jc w:val="left"/>
      </w:pPr>
      <w:r>
        <w:rPr>
          <w:color w:val="00274C"/>
          <w:sz w:val="20"/>
          <w:szCs w:val="20"/>
          <w:u w:val="none"/>
        </w:rPr>
        <w:t xml:space="preserve">- Diesel 4 temps avec cylindres en ligne; - Refroidissement par liquide;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soupapes par cylindre avec poussoirs hydrauliques;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Injection directe.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Données techniques du moteur</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left"/>
              <w:textAlignment w:val="center"/>
            </w:pPr>
            <w:r>
              <w:rPr>
                <w:b/>
                <w:bCs/>
                <w:color w:val="FFFFFF"/>
                <w:position w:val="-2"/>
                <w:sz w:val="20"/>
                <w:szCs w:val="20"/>
                <w:u w:val="none"/>
                <w:shd w:val="clear" w:color="auto" w:fill="00274C"/>
              </w:rPr>
              <w:t xml:space="preserve">CARACTÉRISTIQUES TECHNIQUES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left"/>
              <w:textAlignment w:val="center"/>
            </w:pPr>
            <w:r>
              <w:rPr>
                <w:b/>
                <w:bCs/>
                <w:color w:val="FFFFFF"/>
                <w:position w:val="-2"/>
                <w:sz w:val="20"/>
                <w:szCs w:val="20"/>
                <w:u w:val="none"/>
                <w:shd w:val="clear" w:color="auto" w:fill="00274C"/>
              </w:rPr>
              <w:t xml:space="preserve">UNITÉ DE MESURE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08800" cy="842400"/>
                  <wp:effectExtent b="0" l="0" r="0" t="0"/>
                  <wp:docPr id="7533928" name="name838062a34b14b8be4"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481862a34b14b8bde" cstate="print"/>
                          <a:stretch>
                            <a:fillRect/>
                          </a:stretch>
                        </pic:blipFill>
                        <pic:spPr>
                          <a:xfrm>
                            <a:off x="0" y="0"/>
                            <a:ext cx="1108800" cy="8424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0"/>
              </w:rPr>
              <w:drawing>
                <wp:inline distT="0" distB="0" distL="0" distR="0">
                  <wp:extent cx="1202400" cy="820800"/>
                  <wp:effectExtent b="0" l="0" r="0" t="0"/>
                  <wp:docPr id="70765868" name="name850762a34b14c560e"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127062a34b14c5601" cstate="print"/>
                          <a:stretch>
                            <a:fillRect/>
                          </a:stretch>
                        </pic:blipFill>
                        <pic:spPr>
                          <a:xfrm>
                            <a:off x="0" y="0"/>
                            <a:ext cx="1202400" cy="820800"/>
                          </a:xfrm>
                          <a:prstGeom prst="rect">
                            <a:avLst/>
                          </a:prstGeom>
                          <a:ln w="0">
                            <a:noFill/>
                          </a:ln>
                        </pic:spPr>
                      </pic:pic>
                    </a:graphicData>
                  </a:graphic>
                </wp:inline>
              </w:drawing>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INCLINAISON MAXIMALE PENDANT LE FONCTIONNEMENT (même en combiné)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CAPACITÉ HUILE (niveau MAX.) avec filtre à huile monté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Encombrement des moteurs (mm)</w:t>
      </w:r>
    </w:p>
    <w:p>
      <w:pPr>
        <w:widowControl w:val="on"/>
        <w:pBdr/>
        <w:spacing w:before="225" w:after="225" w:line="262" w:lineRule="auto"/>
        <w:ind w:left="0" w:right="0"/>
        <w:jc w:val="left"/>
      </w:pPr>
      <w:r>
        <w:drawing>
          <wp:inline distT="0" distB="0" distL="0" distR="0">
            <wp:extent cx="4752000" cy="2462400"/>
            <wp:effectExtent b="0" l="0" r="0" t="0"/>
            <wp:docPr id="70736876" name="name118562a34b14d740c" descr="10_Zss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ssHs_M.jpg"/>
                    <pic:cNvPicPr/>
                  </pic:nvPicPr>
                  <pic:blipFill>
                    <a:blip r:embed="rId727862a34b14d7406" cstate="print"/>
                    <a:stretch>
                      <a:fillRect/>
                    </a:stretch>
                  </pic:blipFill>
                  <pic:spPr>
                    <a:xfrm>
                      <a:off x="0" y="0"/>
                      <a:ext cx="4752000" cy="2462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Huile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2141449" name="name203562a34b14e15c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17862a34b14e15c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5650"/>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5650"/>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5650"/>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5650"/>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5650"/>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2206597" name="name936562a34b14ec67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35262a34b14ec67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5650"/>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5650"/>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5650"/>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Classification de l'huile SAE</w:t>
      </w:r>
    </w:p>
    <w:p>
      <w:pPr>
        <w:numPr>
          <w:ilvl w:val="0"/>
          <w:numId w:val="5650"/>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5650"/>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 PRESCRIT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SPÉCIFICATIONS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5650"/>
        </w:numPr>
        <w:spacing w:before="0" w:after="0" w:line="240" w:lineRule="auto"/>
        <w:jc w:val="left"/>
        <w:rPr>
          <w:color w:val="00274C"/>
          <w:sz w:val="20"/>
          <w:szCs w:val="20"/>
        </w:rPr>
      </w:pPr>
      <w:r>
        <w:rPr>
          <w:color w:val="00274C"/>
          <w:sz w:val="20"/>
          <w:szCs w:val="20"/>
          <w:u w:val="none"/>
        </w:rPr>
        <w:t xml:space="preserve">Les huiles « low SAPS », avec des cendres sulfatées 50 ppm.</w:t>
      </w:r>
    </w:p>
    <w:p>
      <w:pPr>
        <w:numPr>
          <w:ilvl w:val="0"/>
          <w:numId w:val="5650"/>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2148133" name="name172962a34b150419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31362a34b150419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5650"/>
        </w:numPr>
        <w:spacing w:before="0" w:after="0" w:line="240" w:lineRule="auto"/>
        <w:jc w:val="left"/>
        <w:rPr>
          <w:color w:val="00274C"/>
          <w:sz w:val="20"/>
          <w:szCs w:val="20"/>
        </w:rPr>
      </w:pPr>
      <w:r>
        <w:rPr>
          <w:color w:val="00274C"/>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5650"/>
        </w:numPr>
        <w:spacing w:before="0" w:after="0" w:line="240" w:lineRule="auto"/>
        <w:jc w:val="left"/>
        <w:rPr>
          <w:color w:val="00274C"/>
          <w:sz w:val="20"/>
          <w:szCs w:val="20"/>
        </w:rPr>
      </w:pPr>
      <w:r>
        <w:rPr>
          <w:b/>
          <w:bCs/>
          <w:color w:val="00274C"/>
          <w:sz w:val="20"/>
          <w:szCs w:val="20"/>
          <w:u w:val="none"/>
        </w:rPr>
        <w:t xml:space="preserve">Toute défaillance résultant de l’utilisation de carburants autres que ceux recommandée, ne sera pas prise en charge sous garantie.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4438031" name="name566662a34b150f02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52362a34b150f02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Avertissement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5650"/>
        </w:numPr>
        <w:spacing w:before="0" w:after="0" w:line="240" w:lineRule="auto"/>
        <w:jc w:val="left"/>
        <w:rPr>
          <w:color w:val="00274C"/>
          <w:sz w:val="20"/>
          <w:szCs w:val="20"/>
        </w:rPr>
      </w:pPr>
      <w:r>
        <w:rPr>
          <w:color w:val="00274C"/>
          <w:sz w:val="20"/>
          <w:szCs w:val="20"/>
          <w:u w:val="none"/>
        </w:rPr>
        <w:t xml:space="preserve">Un carburant propre évite le colmatage des injecteurs de carburant. Nettoyer immédiatement tout déversement pendant le remplissage.</w:t>
      </w:r>
    </w:p>
    <w:p>
      <w:pPr>
        <w:numPr>
          <w:ilvl w:val="0"/>
          <w:numId w:val="5650"/>
        </w:numPr>
        <w:spacing w:before="0" w:after="0" w:line="240" w:lineRule="auto"/>
        <w:jc w:val="left"/>
        <w:rPr>
          <w:color w:val="00274C"/>
          <w:sz w:val="20"/>
          <w:szCs w:val="20"/>
        </w:rPr>
      </w:pPr>
      <w:r>
        <w:rPr>
          <w:color w:val="00274C"/>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COMPATIBILITÉ DE CARBURANT</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(teneur maxi en biocarburant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équivalent au carburant diesel conformément à la norme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ou ASTM D 975 Qualité 1, 2 -D S15 Carburant arctique</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N°1, N°2</w:t>
            </w:r>
          </w:p>
        </w:tc>
      </w:tr>
    </w:tbl>
    <w:p>
      <w:pPr>
        <w:widowControl w:val="on"/>
        <w:pBdr/>
        <w:spacing w:before="0" w:after="0" w:line="262" w:lineRule="auto"/>
        <w:ind w:left="0" w:right="0"/>
        <w:jc w:val="left"/>
      </w:pPr>
      <w:r>
        <w:rPr>
          <w:b/>
          <w:bCs/>
          <w:color w:val="00274C"/>
          <w:sz w:val="20"/>
          <w:szCs w:val="20"/>
          <w:u w:val="none"/>
        </w:rPr>
        <w:t xml:space="preserve">REMARQUE: </w:t>
      </w:r>
      <w:r>
        <w:rPr>
          <w:color w:val="00274C"/>
          <w:sz w:val="20"/>
          <w:szCs w:val="20"/>
          <w:u w:val="none"/>
        </w:rPr>
        <w:t xml:space="preserve"> En cas de garantie, le client doit prouver par le biais d’un certificat délivré par le fournisseur de carburant, qu’un carburant autorisé a été utilisé.</w:t>
      </w:r>
    </w:p>
    <w:p>
      <w:pPr>
        <w:widowControl w:val="on"/>
        <w:pBdr/>
        <w:spacing w:before="0" w:after="0" w:line="262" w:lineRule="auto"/>
        <w:ind w:left="0" w:right="0"/>
        <w:jc w:val="left"/>
      </w:pPr>
      <w:r>
        <w:rPr>
          <w:b/>
          <w:bCs/>
          <w:i/>
          <w:iCs/>
          <w:color w:val="00274C"/>
          <w:sz w:val="20"/>
          <w:szCs w:val="20"/>
          <w:u w:val="none"/>
        </w:rPr>
        <w:br/>
        <w:t xml:space="preserve">Moteurs KDI à injection mécanique certifiés Tier 3 - Stage IIIA (avec et sans EGR)</w:t>
      </w:r>
    </w:p>
    <w:p>
      <w:pPr>
        <w:numPr>
          <w:ilvl w:val="0"/>
          <w:numId w:val="5650"/>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ne sont pas équipés de post-traitement des gaz d’échappement, ils peuvent être exploités avec ces carburants diesel avec une teneur en soufre jusqu’à 500 mg/kg (ppm). La conformité avec les exigences en matière d’émissions est garantie uniquement pour une teneur en soufre de maximum 15 mg/kg (ppm).</w:t>
      </w:r>
      <w:r>
        <w:rPr>
          <w:color w:val="00274C"/>
          <w:sz w:val="20"/>
          <w:szCs w:val="20"/>
          <w:u w:val="none"/>
        </w:rPr>
        <w:br/>
        <w:t xml:space="preserve">Les moteurs exploités avec des carburants conformes à la norme EN 590 et ASTM D975, avec une teneur en soufre &lt; 15 mg/kg, sont soumis à des intervalles de vidange d’huile de 500 heures. Les carburants d’une teneur en soufre &gt; 500 mg/kg nécessitent un intervalle plus cours de vidange de l’huile de lubrification. Il est fixé à 250 heures. Néanmoins, l’huile moteur doit être changée lorsque l’indice d'alcalinité totale (TBN) est réduit à 6,0 mgKOH/g, selon la méthode d’essai ASTM D4739. En cas de teneur élevée en soufre dans le carburant, l’intervalle peut être fixé à 125 heures. Ne pas utiliser les huiles « low SAPS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Moteurs KDI à injection mécanique non certifiés (pas de moteurs EGR)</w:t>
      </w:r>
    </w:p>
    <w:p>
      <w:pPr>
        <w:numPr>
          <w:ilvl w:val="0"/>
          <w:numId w:val="5650"/>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ne sont pas équipés de post-traitement des gaz d’échappement, ils peuvent être exploités avec ces carburants diesel avec une teneur en soufre jusqu’à 2 000 mg/kg (ppm).</w:t>
      </w:r>
      <w:r>
        <w:rPr>
          <w:color w:val="00274C"/>
          <w:sz w:val="20"/>
          <w:szCs w:val="20"/>
          <w:u w:val="none"/>
        </w:rPr>
        <w:br/>
        <w:t xml:space="preserve">Les moteurs exploités avec des carburants conformes à la norme EN 590 et ASTM D975, avec une teneur en soufre &lt; 15 mg/kg, sont soumis à des intervalles de vidange d’huile de 500 heures. Les carburants d’une teneur en soufre &gt; 500 mg/kg nécessitent un intervalle plus cours de vidange de l’huile de lubrification. Il est fixé à 250 heures. Néanmoins, l’huile moteur doit être changée lorsque l’indice d'alcalinité totale (TBN) est réduit à 6,0 mgKOH/g, selon la méthode d’essai ASTM D4739.</w:t>
      </w:r>
    </w:p>
    <w:p>
      <w:pPr>
        <w:widowControl w:val="on"/>
        <w:pBdr/>
        <w:spacing w:before="0" w:after="0" w:line="262" w:lineRule="auto"/>
        <w:ind w:left="0" w:right="0"/>
        <w:jc w:val="left"/>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Carburant pour températures basses</w:t>
      </w:r>
    </w:p>
    <w:p>
      <w:pPr>
        <w:numPr>
          <w:ilvl w:val="0"/>
          <w:numId w:val="5650"/>
        </w:numPr>
        <w:spacing w:before="0" w:after="0" w:line="240" w:lineRule="auto"/>
        <w:jc w:val="left"/>
        <w:rPr>
          <w:color w:val="00274C"/>
          <w:sz w:val="20"/>
          <w:szCs w:val="20"/>
        </w:rPr>
      </w:pPr>
      <w:r>
        <w:rPr>
          <w:color w:val="00274C"/>
          <w:sz w:val="20"/>
          <w:szCs w:val="20"/>
          <w:u w:val="none"/>
        </w:rPr>
        <w:t xml:space="preserve">En d’utilisation du moteur à des températures ambiantes inférieures à 0 °C, utiliser un carburant adapté aux basses températures, disponible couramment chez les distributeurs de carburant et conforme aux spécifications du </w:t>
      </w:r>
      <w:r>
        <w:rPr>
          <w:b/>
          <w:bCs/>
          <w:color w:val="00274C"/>
          <w:sz w:val="20"/>
          <w:szCs w:val="20"/>
          <w:u w:val="none"/>
        </w:rPr>
        <w:t xml:space="preserve">tab. 2.3.</w:t>
      </w:r>
    </w:p>
    <w:p>
      <w:pPr>
        <w:numPr>
          <w:ilvl w:val="0"/>
          <w:numId w:val="5650"/>
        </w:numPr>
        <w:spacing w:before="0" w:after="0" w:line="240" w:lineRule="auto"/>
        <w:jc w:val="left"/>
        <w:rPr>
          <w:color w:val="00274C"/>
          <w:sz w:val="20"/>
          <w:szCs w:val="20"/>
        </w:rPr>
      </w:pPr>
      <w:r>
        <w:rPr>
          <w:color w:val="00274C"/>
          <w:sz w:val="20"/>
          <w:szCs w:val="20"/>
          <w:u w:val="none"/>
        </w:rPr>
        <w:t xml:space="preserve">Ces carburants réduisent la formation de paraffine dans le carburant à basses températures.</w:t>
      </w:r>
    </w:p>
    <w:p>
      <w:pPr>
        <w:numPr>
          <w:ilvl w:val="0"/>
          <w:numId w:val="5650"/>
        </w:numPr>
        <w:spacing w:before="0" w:after="0" w:line="240" w:lineRule="auto"/>
        <w:jc w:val="left"/>
        <w:rPr>
          <w:color w:val="00274C"/>
          <w:sz w:val="20"/>
          <w:szCs w:val="20"/>
        </w:rPr>
      </w:pPr>
      <w:r>
        <w:rPr>
          <w:color w:val="00274C"/>
          <w:sz w:val="20"/>
          <w:szCs w:val="20"/>
          <w:u w:val="none"/>
        </w:rPr>
        <w:t xml:space="preserve">Lorsque de la paraffine se forme dans le carburant, le filtre à carburant se bouche ce qui interrompt l’écoulement du carburant.</w:t>
      </w:r>
    </w:p>
    <w:p>
      <w:pPr>
        <w:widowControl w:val="on"/>
        <w:pBdr/>
        <w:spacing w:before="0" w:after="0" w:line="262" w:lineRule="auto"/>
        <w:ind w:left="0" w:right="0"/>
        <w:jc w:val="left"/>
      </w:pPr>
      <w:r>
        <w:rPr>
          <w:b/>
          <w:bCs/>
          <w:color w:val="00274C"/>
          <w:sz w:val="20"/>
          <w:szCs w:val="20"/>
          <w:u w:val="none"/>
        </w:rPr>
        <w:br/>
        <w:t xml:space="preserve">2.5.2</w:t>
      </w:r>
      <w:r>
        <w:rPr>
          <w:b/>
          <w:bCs/>
          <w:color w:val="00274C"/>
          <w:sz w:val="20"/>
          <w:szCs w:val="20"/>
          <w:u w:val="none"/>
        </w:rPr>
        <w:t xml:space="preserve"> Carburant Biodiesel</w:t>
      </w:r>
    </w:p>
    <w:p>
      <w:pPr>
        <w:numPr>
          <w:ilvl w:val="0"/>
          <w:numId w:val="5650"/>
        </w:numPr>
        <w:spacing w:before="0" w:after="0" w:line="240" w:lineRule="auto"/>
        <w:jc w:val="left"/>
        <w:rPr>
          <w:color w:val="00274C"/>
          <w:sz w:val="20"/>
          <w:szCs w:val="20"/>
        </w:rPr>
      </w:pPr>
      <w:r>
        <w:rPr>
          <w:color w:val="00274C"/>
          <w:sz w:val="20"/>
          <w:szCs w:val="20"/>
          <w:u w:val="none"/>
        </w:rPr>
        <w:t xml:space="preserve">Les carburants contenant 10 % d’esther de méthyle ou B10, conviennent pour une utilisation dans ce moteur à condition qu’ils respectent les spécifications du </w:t>
      </w:r>
      <w:r>
        <w:rPr>
          <w:b/>
          <w:bCs/>
          <w:color w:val="00274C"/>
          <w:sz w:val="20"/>
          <w:szCs w:val="20"/>
          <w:u w:val="none"/>
        </w:rPr>
        <w:t xml:space="preserve">tab. 2.3</w:t>
      </w:r>
      <w:r>
        <w:rPr>
          <w:color w:val="00274C"/>
          <w:sz w:val="20"/>
          <w:szCs w:val="20"/>
          <w:u w:val="none"/>
        </w:rPr>
        <w:t xml:space="preserve"> .</w:t>
      </w:r>
    </w:p>
    <w:p>
      <w:pPr>
        <w:numPr>
          <w:ilvl w:val="0"/>
          <w:numId w:val="5650"/>
        </w:numPr>
        <w:spacing w:before="0" w:after="0" w:line="240" w:lineRule="auto"/>
        <w:jc w:val="left"/>
        <w:rPr>
          <w:color w:val="00274C"/>
          <w:sz w:val="20"/>
          <w:szCs w:val="20"/>
        </w:rPr>
      </w:pPr>
      <w:r>
        <w:rPr>
          <w:b/>
          <w:bCs/>
          <w:color w:val="00274C"/>
          <w:sz w:val="20"/>
          <w:szCs w:val="20"/>
          <w:u w:val="none"/>
        </w:rPr>
        <w:t xml:space="preserve">NE PAS UTILISER</w:t>
      </w:r>
      <w:r>
        <w:rPr>
          <w:color w:val="00274C"/>
          <w:sz w:val="20"/>
          <w:szCs w:val="20"/>
          <w:u w:val="none"/>
        </w:rPr>
        <w:t xml:space="preserve"> d’huile végétale comme biocarburant pour ce moteur.</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COMPATIBILITÉ BIODIESEL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à la norme EN 14214 (admissible uniquement pour un mélange avec un carburant diesel à maxi 10 %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à la norme ASTM D6751 – 09a (B100) (admissible uniquement pour un mélange avec un carburant diesel à maxi 10 % (V/V))</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Carburants de synthèse : GTL, CTL, BTL, HV</w:t>
      </w:r>
      <w:r>
        <w:rPr>
          <w:color w:val="00274C"/>
          <w:sz w:val="20"/>
          <w:szCs w:val="20"/>
          <w:u w:val="none"/>
        </w:rPr>
        <w:br/>
        <w:t xml:space="preserve"> C’est un fait largement répandu que les moteurs exploités pendant des périodes prolongées avec un carburant diesel conventionnel, qui sont ensuite convertis en carburants de synthèse, souffrent d’un rétrécissement des joints polymère du système d’injection et donc de fuites de carburant. La raison à cette situation : les carburants de synthèse sans odeur peuvent provoquer une modification du comportement étanche des joints polymères.</w:t>
      </w:r>
      <w:r>
        <w:rPr>
          <w:color w:val="00274C"/>
          <w:sz w:val="20"/>
          <w:szCs w:val="20"/>
          <w:u w:val="none"/>
        </w:rPr>
        <w:br/>
        <w:t xml:space="preserve">Par conséquent, une transformation du carburant diesel au carburant de synthèse peut se produire uniquement après avoir remplacé les joints critiques. Le problème de rétrécissement ne se produit pas lorsqu’un moteur a été exploité dès le départ avec un carburant de synthèse.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Carburants non-routiers</w:t>
      </w:r>
    </w:p>
    <w:p>
      <w:pPr>
        <w:widowControl w:val="on"/>
        <w:pBdr/>
        <w:spacing w:before="0" w:after="0" w:line="262" w:lineRule="auto"/>
        <w:ind w:left="0" w:right="0"/>
        <w:jc w:val="left"/>
      </w:pPr>
      <w:r>
        <w:rPr>
          <w:color w:val="00274C"/>
          <w:sz w:val="20"/>
          <w:szCs w:val="20"/>
          <w:u w:val="none"/>
        </w:rPr>
        <w:br/>
        <w:t xml:space="preserve">D’autres carburants non-routiers peuvent être utilisés s’ils sont conformes avec les valeurs-limites de la norme EN 590 sauf en ce qui concerne la densité de carburant, l’indice de cétane et la teneur en soufre.</w:t>
      </w:r>
      <w:r>
        <w:rPr>
          <w:color w:val="00274C"/>
          <w:sz w:val="20"/>
          <w:szCs w:val="20"/>
          <w:u w:val="none"/>
        </w:rPr>
        <w:br/>
        <w:t xml:space="preserve">Les limites suivantes s’appliquent pour ces paramètres:</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PARAMETRE CARBURANT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VALEUR LIMITE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de cétane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Densité de carburant à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Teneur en soufre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ou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Carburants d’aviation</w:t>
      </w:r>
      <w:r>
        <w:rPr>
          <w:i/>
          <w:iCs/>
          <w:color w:val="00274C"/>
          <w:sz w:val="20"/>
          <w:szCs w:val="20"/>
          <w:u w:val="none"/>
        </w:rPr>
        <w:br/>
        <w:t xml:space="preserve">Uniquement pour les moteurs non certifiés à injection mécanique KDI (pas de moteurs EGR).</w:t>
      </w:r>
      <w:r>
        <w:rPr>
          <w:color w:val="00274C"/>
          <w:sz w:val="20"/>
          <w:szCs w:val="20"/>
          <w:u w:val="none"/>
        </w:rPr>
        <w:br/>
        <w:t xml:space="preserve">Les carburants d’aviation suivants peuvent être utilisés mais uniquement en mettant en place un filtre à carburant supplémentaire avec dispositif de dosage d'onctuosité:</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CARBURANT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(kérosène, désignation OTAN)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P-8 (kérosène, désignation armée américaine)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(kérosène, désignation OTAN)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(kérosène, désignation armée américaine)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(kérosène, désignation OTAN, équivaut à F-34/F-35 avec additifs)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(kérosène pour l’aviation civile)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(kérosène, désignation OTAN, mélange 1:1 de F-54 et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(kérosène pour l’aviation civile)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Instructions d’installation relatives aux émissions</w:t>
      </w:r>
      <w:r>
        <w:rPr>
          <w:color w:val="00274C"/>
          <w:sz w:val="20"/>
          <w:szCs w:val="20"/>
          <w:u w:val="none"/>
        </w:rPr>
        <w:t xml:space="preserve"> Tout non-respect des instructions indiquées dans le manuel des applications, lors de l’installation d’un moteur certifié dans une partie d’un équipement non-routier, est en infraction avec la loi fédérale (40 CFR 1068.105(b)), et pourra faire l’objet d'amendes ou autres pénalités comme indiqué dans la Loi sur la qualité de l’air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L’équipementier OEM doit apposer une étiquette séparée comportant la déclaration suivante : « UNIQUEMENT CARBURANT A TENEUR ULTRA-BASSE EN SULFURE » à côté de l’entrée de carburant.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Assurez-vous d’installer un moteur doté des certifications appropriées pour votre application. Des moteurs à vitesse constante peuvent être installés sur un équipement à vitesse constante pour un fonctionnement à vitesse constante.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Si vous installez le moteur d’une manière qui rend difficile la lecture de l’étiquette comportant les informations de contrôle d’émission du moteur pendant la maintenance normale du moteur, vous devez placer une autre étiquette sur l’équipement, comme décrit dans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650"/>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5650"/>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8217057" name="name302262a34b15211c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16762a34b15211b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5650"/>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5650"/>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Caractéristiques des batteries</w:t>
      </w:r>
    </w:p>
    <w:p>
      <w:pPr>
        <w:widowControl w:val="on"/>
        <w:pBdr/>
        <w:spacing w:before="0" w:after="0" w:line="262" w:lineRule="auto"/>
        <w:ind w:left="0" w:right="0"/>
        <w:jc w:val="left"/>
      </w:pPr>
      <w:r>
        <w:rPr>
          <w:b/>
          <w:bCs/>
          <w:color w:val="00274C"/>
          <w:sz w:val="20"/>
          <w:szCs w:val="20"/>
          <w:u w:val="none"/>
        </w:rPr>
        <w:t xml:space="preserve">Batterie non fournie par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651">
    <w:multiLevelType w:val="hybridMultilevel"/>
    <w:lvl w:ilvl="0" w:tplc="54834853">
      <w:start w:val="1"/>
      <w:numFmt w:val="decimal"/>
      <w:lvlText w:val="%1."/>
      <w:lvlJc w:val="left"/>
      <w:pPr>
        <w:ind w:left="720" w:hanging="360"/>
      </w:pPr>
    </w:lvl>
    <w:lvl w:ilvl="1" w:tplc="54834853" w:tentative="1">
      <w:start w:val="1"/>
      <w:numFmt w:val="lowerLetter"/>
      <w:lvlText w:val="%2."/>
      <w:lvlJc w:val="left"/>
      <w:pPr>
        <w:ind w:left="1440" w:hanging="360"/>
      </w:pPr>
    </w:lvl>
    <w:lvl w:ilvl="2" w:tplc="54834853" w:tentative="1">
      <w:start w:val="1"/>
      <w:numFmt w:val="lowerRoman"/>
      <w:lvlText w:val="%3."/>
      <w:lvlJc w:val="right"/>
      <w:pPr>
        <w:ind w:left="2160" w:hanging="180"/>
      </w:pPr>
    </w:lvl>
    <w:lvl w:ilvl="3" w:tplc="54834853" w:tentative="1">
      <w:start w:val="1"/>
      <w:numFmt w:val="decimal"/>
      <w:lvlText w:val="%4."/>
      <w:lvlJc w:val="left"/>
      <w:pPr>
        <w:ind w:left="2880" w:hanging="360"/>
      </w:pPr>
    </w:lvl>
    <w:lvl w:ilvl="4" w:tplc="54834853" w:tentative="1">
      <w:start w:val="1"/>
      <w:numFmt w:val="lowerLetter"/>
      <w:lvlText w:val="%5."/>
      <w:lvlJc w:val="left"/>
      <w:pPr>
        <w:ind w:left="3600" w:hanging="360"/>
      </w:pPr>
    </w:lvl>
    <w:lvl w:ilvl="5" w:tplc="54834853" w:tentative="1">
      <w:start w:val="1"/>
      <w:numFmt w:val="lowerRoman"/>
      <w:lvlText w:val="%6."/>
      <w:lvlJc w:val="right"/>
      <w:pPr>
        <w:ind w:left="4320" w:hanging="180"/>
      </w:pPr>
    </w:lvl>
    <w:lvl w:ilvl="6" w:tplc="54834853" w:tentative="1">
      <w:start w:val="1"/>
      <w:numFmt w:val="decimal"/>
      <w:lvlText w:val="%7."/>
      <w:lvlJc w:val="left"/>
      <w:pPr>
        <w:ind w:left="5040" w:hanging="360"/>
      </w:pPr>
    </w:lvl>
    <w:lvl w:ilvl="7" w:tplc="54834853" w:tentative="1">
      <w:start w:val="1"/>
      <w:numFmt w:val="lowerLetter"/>
      <w:lvlText w:val="%8."/>
      <w:lvlJc w:val="left"/>
      <w:pPr>
        <w:ind w:left="5760" w:hanging="360"/>
      </w:pPr>
    </w:lvl>
    <w:lvl w:ilvl="8" w:tplc="54834853" w:tentative="1">
      <w:start w:val="1"/>
      <w:numFmt w:val="lowerRoman"/>
      <w:lvlText w:val="%9."/>
      <w:lvlJc w:val="right"/>
      <w:pPr>
        <w:ind w:left="6480" w:hanging="180"/>
      </w:pPr>
    </w:lvl>
  </w:abstractNum>
  <w:abstractNum w:abstractNumId="5650">
    <w:multiLevelType w:val="hybridMultilevel"/>
    <w:lvl w:ilvl="0" w:tplc="530850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5650">
    <w:abstractNumId w:val="5650"/>
  </w:num>
  <w:num w:numId="5651">
    <w:abstractNumId w:val="56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79904900" Type="http://schemas.openxmlformats.org/officeDocument/2006/relationships/comments" Target="comments.xml"/><Relationship Id="rId779781041" Type="http://schemas.microsoft.com/office/2011/relationships/commentsExtended" Target="commentsExtended.xml"/><Relationship Id="rId28294589" Type="http://schemas.openxmlformats.org/officeDocument/2006/relationships/image" Target="media/imgrId28294589.jpg"/><Relationship Id="rId481862a34b14b8bde" Type="http://schemas.openxmlformats.org/officeDocument/2006/relationships/image" Target="media/imgrId481862a34b14b8bde.jpg"/><Relationship Id="rId127062a34b14c5601" Type="http://schemas.openxmlformats.org/officeDocument/2006/relationships/image" Target="media/imgrId127062a34b14c5601.jpg"/><Relationship Id="rId727862a34b14d7406" Type="http://schemas.openxmlformats.org/officeDocument/2006/relationships/image" Target="media/imgrId727862a34b14d7406.jpg"/><Relationship Id="rId817862a34b14e15c8" Type="http://schemas.openxmlformats.org/officeDocument/2006/relationships/image" Target="media/imgrId817862a34b14e15c8.jpg"/><Relationship Id="rId435262a34b14ec670" Type="http://schemas.openxmlformats.org/officeDocument/2006/relationships/image" Target="media/imgrId435262a34b14ec670.jpg"/><Relationship Id="rId331362a34b1504192" Type="http://schemas.openxmlformats.org/officeDocument/2006/relationships/image" Target="media/imgrId331362a34b1504192.jpg"/><Relationship Id="rId452362a34b150f027" Type="http://schemas.openxmlformats.org/officeDocument/2006/relationships/image" Target="media/imgrId452362a34b150f027.jpg"/><Relationship Id="rId916762a34b15211bd" Type="http://schemas.openxmlformats.org/officeDocument/2006/relationships/image" Target="media/imgrId916762a34b15211bd.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8294589" Type="http://schemas.openxmlformats.org/officeDocument/2006/relationships/image" Target="media/imgrId2829458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8294589" Type="http://schemas.openxmlformats.org/officeDocument/2006/relationships/image" Target="media/imgrId2829458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8294589" Type="http://schemas.openxmlformats.org/officeDocument/2006/relationships/image" Target="media/imgrId2829458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8294589" Type="http://schemas.openxmlformats.org/officeDocument/2006/relationships/image" Target="media/imgrId2829458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8294589" Type="http://schemas.openxmlformats.org/officeDocument/2006/relationships/image" Target="media/imgrId2829458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8294589" Type="http://schemas.openxmlformats.org/officeDocument/2006/relationships/image" Target="media/imgrId2829458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