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Informations sur le stockage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Manuel d'atelier KDI 3404 TCR-SCR (Rev. 10.4)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624348669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447958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83299864" w:name="ctxt"/>
    <w:bookmarkEnd w:id="83299864"/>
    <w:p>
      <w:pPr>
        <w:widowControl w:val="on"/>
        <w:pBdr/>
        <w:spacing w:before="75" w:after="75" w:line="240" w:lineRule="auto"/>
        <w:ind w:left="75" w:right="75"/>
        <w:jc w:val="left"/>
      </w:pPr>
    </w:p>
    <w:p>
      <w:pPr>
        <w:pStyle w:val="Titolo1"/>
      </w:pPr>
      <w:r>
        <w:rPr/>
        <w:t xml:space="preserve">Informations sur le stockage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pStyle w:val="Titolo2"/>
      </w:pPr>
      <w:r>
        <w:rPr/>
        <w:t xml:space="preserve">Conservation du produit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40000</wp:posOffset>
            </wp:positionV>
            <wp:extent cx="360000" cy="309600"/>
            <wp:wrapSquare wrapText="bothSides"/>
            <wp:docPr id="88658458" name="name629162a8a13201740" descr="Z_importante.jp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importante.jpg"/>
                    <pic:cNvPicPr/>
                  </pic:nvPicPr>
                  <pic:blipFill>
                    <a:blip r:embed="rId725262a8a1320173c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274C"/>
          <w:sz w:val="20"/>
          <w:szCs w:val="20"/>
          <w:u w:val="none"/>
        </w:rPr>
        <w:t xml:space="preserve">   </w:t>
      </w:r>
      <w:r>
        <w:rPr>
          <w:b/>
          <w:bCs/>
          <w:color w:val="00274C"/>
          <w:sz w:val="20"/>
          <w:szCs w:val="20"/>
          <w:u w:val="none"/>
        </w:rPr>
        <w:t xml:space="preserve">Important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/>
    <w:p>
      <w:pPr>
        <w:numPr>
          <w:ilvl w:val="0"/>
          <w:numId w:val="118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Si les moteurs ne sont pas utilisés pendant une période allant jusqu'à 6 mois, ils doivent être protégés, par les opérations décrites dans le paragraphe Stockage du moteur (jusqu'à 6 mois) </w:t>
      </w:r>
      <w:r>
        <w:rPr>
          <w:b/>
          <w:bCs/>
          <w:color w:val="00274C"/>
          <w:sz w:val="20"/>
          <w:szCs w:val="20"/>
          <w:u w:val="none"/>
        </w:rPr>
        <w:t xml:space="preserve">( </w:t>
      </w:r>
      <w:hyperlink r:id="rId362562a8a13201f79" w:history="1">
        <w:r>
          <w:rPr>
            <w:rStyle w:val="DefaultParagraphFontPHPDOCX"/>
            <w:b/>
            <w:bCs/>
            <w:color w:val="0000FF"/>
            <w:sz w:val="20"/>
            <w:szCs w:val="20"/>
            <w:u w:val="single" w:color=""/>
          </w:rPr>
          <w:t xml:space="preserve">Par. 4.2</w:t>
        </w:r>
      </w:hyperlink>
      <w:r>
        <w:rPr>
          <w:b/>
          <w:bCs/>
          <w:color w:val="00274C"/>
          <w:sz w:val="20"/>
          <w:szCs w:val="20"/>
          <w:u w:val="none"/>
        </w:rPr>
        <w:t xml:space="preserve"> )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Au-delà de 6 mois d’inutilisation du moteur, il est nécessaire d'effectuer une intervention protectrice pour étendre la période de stockage (au-delà de 6 mois) </w:t>
      </w:r>
      <w:r>
        <w:rPr>
          <w:b/>
          <w:bCs/>
          <w:color w:val="00274C"/>
          <w:sz w:val="20"/>
          <w:szCs w:val="20"/>
          <w:u w:val="none"/>
        </w:rPr>
        <w:t xml:space="preserve">( </w:t>
      </w:r>
      <w:hyperlink r:id="rId162662a8a132022f6" w:history="1">
        <w:r>
          <w:rPr>
            <w:rStyle w:val="DefaultParagraphFontPHPDOCX"/>
            <w:b/>
            <w:bCs/>
            <w:color w:val="0000FF"/>
            <w:sz w:val="20"/>
            <w:szCs w:val="20"/>
            <w:u w:val="single" w:color=""/>
          </w:rPr>
          <w:t xml:space="preserve">Par. 4.3</w:t>
        </w:r>
      </w:hyperlink>
      <w:r>
        <w:rPr>
          <w:b/>
          <w:bCs/>
          <w:color w:val="00274C"/>
          <w:sz w:val="20"/>
          <w:szCs w:val="20"/>
          <w:u w:val="none"/>
        </w:rPr>
        <w:t xml:space="preserve"> )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En cas d’inactivité du moteur, le traitement protecteur doit être répété au plus tard dans les 24 mois suivant le dernier traitement effectué.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Stockage du moteur jusqu'à 6 mois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Avant le stockage, vérifier que:</w:t>
      </w:r>
    </w:p>
    <w:p>
      <w:pPr>
        <w:numPr>
          <w:ilvl w:val="0"/>
          <w:numId w:val="118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La pièce, où le moteur sera conservé, ne soit pas humide ou exposée aux intempéries. Protéger adéquatement le moteur contre la poussière, l'humidité et les agents atmosphériques.</w:t>
      </w:r>
    </w:p>
    <w:p>
      <w:pPr>
        <w:numPr>
          <w:ilvl w:val="0"/>
          <w:numId w:val="118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Le lieu ne soit pas à proximité de tableaux électriques.</w:t>
      </w:r>
    </w:p>
    <w:p>
      <w:pPr>
        <w:numPr>
          <w:ilvl w:val="0"/>
          <w:numId w:val="118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Éviter que l'emballage ne soit en contact direct avec le sol.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Stockage du moteur au-delà de 6 mois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Effectuer les points décrits dans le </w:t>
      </w:r>
      <w:hyperlink r:id="rId225662a8a13202feb" w:history="1">
        <w:r>
          <w:rPr>
            <w:rStyle w:val="DefaultParagraphFontPHPDOCX"/>
            <w:b/>
            <w:bCs/>
            <w:color w:val="0000FF"/>
            <w:sz w:val="20"/>
            <w:szCs w:val="20"/>
            <w:u w:val="single" w:color=""/>
          </w:rPr>
          <w:t xml:space="preserve">Par. 4.2</w:t>
        </w:r>
      </w:hyperlink>
      <w:r>
        <w:rPr>
          <w:b/>
          <w:bCs/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Introduire de l'huile de protection dans le carter jusqu'au niveau </w:t>
      </w:r>
      <w:r>
        <w:rPr>
          <w:b/>
          <w:bCs/>
          <w:color w:val="00274C"/>
          <w:sz w:val="20"/>
          <w:szCs w:val="20"/>
          <w:u w:val="none"/>
        </w:rPr>
        <w:t xml:space="preserve">MAX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Ravitailler avec du carburant contenant des additifs pour stockages de longue durée.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Avec cuve d'expansion:</w:t>
      </w:r>
      <w:r>
        <w:rPr>
          <w:color w:val="00274C"/>
          <w:sz w:val="20"/>
          <w:szCs w:val="20"/>
          <w:u w:val="none"/>
        </w:rPr>
        <w:br/>
        <w:t xml:space="preserve">contrôler que le liquide de refroidissement soit au niveau </w:t>
      </w:r>
      <w:r>
        <w:rPr>
          <w:b/>
          <w:bCs/>
          <w:color w:val="00274C"/>
          <w:sz w:val="20"/>
          <w:szCs w:val="20"/>
          <w:u w:val="none"/>
        </w:rPr>
        <w:t xml:space="preserve">MAX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Sans cuve d'expansion: Le liquide doit recouvrir les tuyaux à l'intérieur du radiateur d’environ 5 mm.
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
Ne pas remplir complètement le radiateur mais laisser un volume libre adéquat pour l'expansion du liquide réfrigérant.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Démarrer le moteur et le maintenir au régime minimum, sans charge, pendant environ 2 minutes.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Amener le moteur aux 3/4 du régime </w:t>
      </w:r>
      <w:r>
        <w:rPr>
          <w:b/>
          <w:bCs/>
          <w:color w:val="00274C"/>
          <w:sz w:val="20"/>
          <w:szCs w:val="20"/>
          <w:u w:val="none"/>
        </w:rPr>
        <w:t xml:space="preserve">MAX</w:t>
      </w:r>
      <w:r>
        <w:rPr>
          <w:color w:val="00274C"/>
          <w:sz w:val="20"/>
          <w:szCs w:val="20"/>
          <w:u w:val="none"/>
        </w:rPr>
        <w:t xml:space="preserve"> . pendant 5 à 10 minutes.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Arrêter le moteur.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Vider complètement le réservoir du carburant.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Vaporiser de l’huile SAE 10W-40 dans les collecteurs d’échappement et d’admission.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Fermer les conduites d’admission et d’échappement afin d’éviter l’introduction de corps étrangers.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Nettoyer soigneusement toutes les parties extérieures du moteur. Lors du lavage du moteur avec des dispositifs de lavage sous pression ou à vapeur, éviter de diriger le jet à haute pression vers les composants électriques, les joints des câbles et les bagues d’étanchéité (système S.P.I.).
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
En cas de lavage à haute pression ou à vapeur, il est important de maintenir une distance minimum d’au moins 200 mm entre la surface à laver et la buse.
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
Éviter absolument les composants comme l'alternateur, le démarreur et la centrale.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Traiter les parties non vernies avec des produits protecteurs.</w:t>
      </w:r>
    </w:p>
    <w:p>
      <w:pPr>
        <w:numPr>
          <w:ilvl w:val="0"/>
          <w:numId w:val="11841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Desserrer la courroie de l'alternateur </w:t>
      </w:r>
      <w:hyperlink r:id="rId428262a8a13204a8c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Par. 6.5.1 points 1 et 2</w:t>
        </w:r>
      </w:hyperlink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Si la protection du moteur est effectuée selon les suggestions indiquées, il ne se produira aucun dégât lié à la corrosion.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Démarrage du moteur après le stockage</w:t>
      </w:r>
    </w:p>
    <w:p>
      <w:pPr>
        <w:numPr>
          <w:ilvl w:val="0"/>
          <w:numId w:val="11842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Enlever la toile de protection.</w:t>
      </w:r>
    </w:p>
    <w:p>
      <w:pPr>
        <w:numPr>
          <w:ilvl w:val="0"/>
          <w:numId w:val="11842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Retirer le traitement protecteur des parties extérieures en utilisant un chiffon imbibé de produit dégraissant.</w:t>
      </w:r>
    </w:p>
    <w:p>
      <w:pPr>
        <w:numPr>
          <w:ilvl w:val="0"/>
          <w:numId w:val="11842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Injecter de l’huile lubrifiante (pas plus de 2 cm </w:t>
      </w:r>
      <w:r>
        <w:rPr>
          <w:color w:val="00274C"/>
          <w:position w:val="3"/>
          <w:sz w:val="17"/>
          <w:szCs w:val="17"/>
          <w:u w:val="none"/>
          <w:vertAlign w:val="superscript"/>
          <w:vertAlign w:val="superscript"/>
        </w:rPr>
        <w:t xml:space="preserve">3</w:t>
      </w:r>
      <w:r>
        <w:rPr>
          <w:color w:val="00274C"/>
          <w:sz w:val="20"/>
          <w:szCs w:val="20"/>
          <w:u w:val="none"/>
        </w:rPr>
        <w:t xml:space="preserve"> ) dans les conduites d’admission.</w:t>
      </w:r>
    </w:p>
    <w:p>
      <w:pPr>
        <w:numPr>
          <w:ilvl w:val="0"/>
          <w:numId w:val="11842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Régler la tension de la courroie de l'alternateur ( </w:t>
      </w:r>
      <w:hyperlink r:id="rId948262a8a1320542a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Par. 6.5.2</w:t>
        </w:r>
      </w:hyperlink>
      <w:r>
        <w:rPr>
          <w:color w:val="00274C"/>
          <w:sz w:val="20"/>
          <w:szCs w:val="20"/>
          <w:u w:val="none"/>
        </w:rPr>
        <w:t xml:space="preserve"> ) ou la remplacer si elle présente des signes de détérioration.</w:t>
      </w:r>
    </w:p>
    <w:p>
      <w:pPr>
        <w:numPr>
          <w:ilvl w:val="0"/>
          <w:numId w:val="11842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Rifornire il serbatoio con nuovo carburante.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br/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40000</wp:posOffset>
            </wp:positionV>
            <wp:extent cx="360000" cy="309600"/>
            <wp:wrapSquare wrapText="bothSides"/>
            <wp:docPr id="4381960" name="name515962a8a1320b245" descr="Z_Avvertenza.jp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Avvertenza.jpg"/>
                    <pic:cNvPicPr/>
                  </pic:nvPicPr>
                  <pic:blipFill>
                    <a:blip r:embed="rId592562a8a1320b23d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274C"/>
          <w:sz w:val="20"/>
          <w:szCs w:val="20"/>
          <w:u w:val="none"/>
        </w:rPr>
        <w:t xml:space="preserve"> </w:t>
      </w:r>
      <w:r>
        <w:rPr>
          <w:b/>
          <w:bCs/>
          <w:color w:val="00274C"/>
          <w:sz w:val="20"/>
          <w:szCs w:val="20"/>
          <w:u w:val="none"/>
        </w:rPr>
        <w:t xml:space="preserve">    Avertissement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numPr>
          <w:ilvl w:val="0"/>
          <w:numId w:val="11839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Avec le temps, les lubrifiants et les filtres perdent leurs propriétés et caractéristiques, il faut donc les remplacer selon les critères décrits dans le </w:t>
      </w:r>
      <w:hyperlink r:id="rId994462a8a1320bca1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Tab. 2.9</w:t>
        </w:r>
      </w:hyperlink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numPr>
          <w:ilvl w:val="0"/>
          <w:numId w:val="11843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Vérifier que les niveaux d’huile et de liquide réfrigérant soient proches de </w:t>
      </w:r>
      <w:r>
        <w:rPr>
          <w:b/>
          <w:bCs/>
          <w:color w:val="00274C"/>
          <w:sz w:val="20"/>
          <w:szCs w:val="20"/>
          <w:u w:val="none"/>
        </w:rPr>
        <w:t xml:space="preserve">MAX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43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Démarrer le moteur et le maintenir au régime minimum, sans charge, pendant environ deux minutes.</w:t>
      </w:r>
    </w:p>
    <w:p>
      <w:pPr>
        <w:numPr>
          <w:ilvl w:val="0"/>
          <w:numId w:val="11843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Amener le moteur aux 3/4 du régime </w:t>
      </w:r>
      <w:r>
        <w:rPr>
          <w:b/>
          <w:bCs/>
          <w:color w:val="00274C"/>
          <w:sz w:val="20"/>
          <w:szCs w:val="20"/>
          <w:u w:val="none"/>
        </w:rPr>
        <w:t xml:space="preserve">MAX</w:t>
      </w:r>
      <w:r>
        <w:rPr>
          <w:color w:val="00274C"/>
          <w:sz w:val="20"/>
          <w:szCs w:val="20"/>
          <w:u w:val="none"/>
        </w:rPr>
        <w:t xml:space="preserve"> . pendant 5 à 10 minutes.</w:t>
      </w:r>
    </w:p>
    <w:p>
      <w:pPr>
        <w:numPr>
          <w:ilvl w:val="0"/>
          <w:numId w:val="11843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Arrêter le moteur et, avec l'huile encore chaude, effectuer l'opération décrite au </w:t>
      </w:r>
      <w:hyperlink r:id="rId754462a8a1320c699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Par. 5.2</w:t>
        </w:r>
      </w:hyperlink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43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Remplacer les filtres (air, huile, carburant) par des pièces de rechange d’origine.</w:t>
      </w:r>
    </w:p>
    <w:p>
      <w:pPr>
        <w:numPr>
          <w:ilvl w:val="0"/>
          <w:numId w:val="11843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Effectuer les opérations décrites au </w:t>
      </w:r>
      <w:hyperlink r:id="rId813262a8a1320caec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Par. 10.1</w:t>
        </w:r>
      </w:hyperlink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1843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Effectuer les opérations décrites au </w:t>
      </w:r>
      <w:hyperlink r:id="rId233262a8a1320cd8d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Par. 5.1</w:t>
        </w:r>
      </w:hyperlink>
      <w:r>
        <w:rPr>
          <w:color w:val="00274C"/>
          <w:sz w:val="20"/>
          <w:szCs w:val="20"/>
          <w:u w:val="none"/>
        </w:rPr>
        <w:t xml:space="preserve"> et </w:t>
      </w:r>
      <w:hyperlink r:id="rId936062a8a1320ceb3" w:history="1">
        <w:r>
          <w:rPr>
            <w:rStyle w:val="DefaultParagraphFontPHPDOCX"/>
            <w:b/>
            <w:bCs/>
            <w:color w:val="0000FF"/>
            <w:sz w:val="20"/>
            <w:szCs w:val="20"/>
            <w:u w:val="none"/>
          </w:rPr>
          <w:t xml:space="preserve">Par. 10.2</w:t>
        </w:r>
      </w:hyperlink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spacing w:before="0" w:after="0" w:line="240" w:lineRule="auto"/>
        <w:ind w:left="0" w:right="0"/>
      </w:pPr>
      <w:r>
        <w:br w:type="page"/>
      </w:r>
    </w:p>
    <w:p>
      <w:pPr>
        <w:pStyle w:val="Titolo2"/>
      </w:pPr>
      <w:r>
        <w:rPr/>
        <w:t xml:space="preserve">Inutilisation de la machine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Effectuer les opérations suivantes si a machine est destinée à rester inutilisée pendant un certain temps.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4.5.1 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Opérations pour les versions TCR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Tab 4.1</w:t>
            </w:r>
          </w:p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</w:tblPr>
            <w:tblGrid>
              <w:gridCol w:w="1"/>
              <w:gridCol w:w="1"/>
              <w:gridCol w:w="1"/>
            </w:tblGrid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PUNTO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PÉRIODE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OPÉRATION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1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jusqu’à 2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Le lieu doit être sec et frais pendant toute la période d’inutilisation de la machine.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déconnecter la batterie (avant de déconnecter la batterie, attendre au moins 5 min après l’arrêt du moteur).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S’assurer que le moteur ne soit pas exposé à la lumière directe du soleil.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S’assurer que le moteur ne soit pas proche de sources de chaleur.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1a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Démarrage après 2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Avant de démarrer le moteur, contrôler les intervalles d’entretien au Par. 2.8.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connecter la batterie et démarrer le moteur.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2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jusqu’à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Effectuer les opérations décrites au point 1.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Effectuer les opérations décrites aux Par. 12.4 et 12.5.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Démarrer le moteur au moins tous les 4 mois en effectuant les opérations décrites au point 1a :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Éviter les accélérations brusques au cours des premières minutes.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Amener le moteur à la température de travail en positionnant l’accélérateur aux 3/4 du MAX.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Laisser le moteur allumé au régime minimum de rotation pendant quelques minutes, puis l’arrêter.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2a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Démarrage après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Avant de démarrer le moteur, contrôler les intervalles d’entretien au Par. 2.8.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connecter la batterie et démarrer le moteur.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Éviter les accélérations brusques au cours des premières minutes.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3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au-delà de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Effectuer les opérations décrites aux points 1 et 2.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3a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Démarrage après plus de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Avant de démarrer le moteur, contrôler les intervalles d’entretien au Par. 2.8.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Vérifier la qualité du liquide de refroidissement au moyen des bandes de contrôle prévues à cet effet.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connecter la batterie et démarrer le moteur.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Éviter les accélérations brusques au cours des premières minutes.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4.5.2 </w:t>
            </w: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Opérations pour les versions TCR-SCR</w:t>
            </w:r>
          </w:p>
          <w:p/>
          <w:p/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Tab 4.2</w:t>
            </w:r>
          </w:p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</w:tblPr>
            <w:tblGrid>
              <w:gridCol w:w="1"/>
              <w:gridCol w:w="1"/>
              <w:gridCol w:w="1"/>
            </w:tblGrid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PUNTO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PÉRIODE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00274C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FFFFFF"/>
                      <w:position w:val="-2"/>
                      <w:sz w:val="20"/>
                      <w:szCs w:val="20"/>
                      <w:u w:val="none"/>
                      <w:shd w:val="clear" w:color="auto" w:fill="00274C"/>
                    </w:rPr>
                    <w:t xml:space="preserve">OPÉRATION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1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jusqu’à 2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Effectuer les opérations décrites au point 1 du Tab. 4.1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Remplir le réservoir DEF avec de DEF jusqu’au niveau MAX.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Maintenir la température ambiante entre -40 et 40 °C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Ne débrancher aucune connexion électrique ou hydraulique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Avant de démarrer le moteur, contrôler les intervalles d’entretien au Par. 2.8.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connecter la batterie et démarrer le moteur.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1a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Démarrage après 2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Avant de démarrer le moteur, contrôler les intervalles d’entretien au Par. 2.8.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connecter la batterie et démarrer le moteur.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2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jusqu’à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Effectuer les opérations décrites au point 2 du Tab. 4.1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Remplir le réservoir DEF avec de DEF jusqu’au niveau MAX.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Maintenir la température ambiante entre -40 et 25 °C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Ne débrancher aucune connexion électrique ou hydraulique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2a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Démarrage après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Avant de démarrer le moteur, contrôler les intervalles d’entretien au Par. 2.8.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connecter la batterie et démarrer le moteur.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3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au-delà de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Effectuer les opérations décrites au point 3 du Tab. 4.1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Remplir le réservoir DEF avec de DEF jusqu’au niveau MAX.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Maintenir la température ambiante entre -40 et 25 °C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Ne débrancher aucune connexion électrique ou hydraulique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3a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Démarrage après plus de 9 mois</w:t>
                  </w:r>
                </w:p>
              </w:tc>
              <w:tc>
                <w:tcPr>
                  <w:tcW w:w="0" w:type="auto"/>
                  <w:tcBorders>
                    <w:top w:val="single" w:color="FFFFFF" w:sz="5"/>
                    <w:left w:val="single" w:color="FFFFFF" w:sz="5"/>
                    <w:bottom w:val="single" w:color="FFFFFF" w:sz="5"/>
                    <w:right w:val="single" w:color="FFFFFF" w:sz="5"/>
                  </w:tcBorders>
                  <w:shd w:val="clear" w:color="auto" w:fill="E1E2E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>
                  <w:pPr>
                    <w:widowControl w:val="on"/>
                    <w:pBdr/>
                    <w:shd w:val="clear" w:color="auto" w:fill="E1E2E0"/>
                    <w:spacing w:before="0" w:after="0" w:line="262" w:lineRule="auto"/>
                    <w:ind w:left="0" w:right="0"/>
                    <w:jc w:val="left"/>
                    <w:textAlignment w:val="center"/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Avant le démarrage de la machine, effectuer les opérations suivantes :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Remplacer DEF dans le réservoir (consulter le manuel de la machine)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Remplacer le filtre de DEF (Par. 6.10)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Contrôler les intervalles d’entretien au Par. 2.8.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Consulter le manuel de la machine pour connecter la batterie.</w:t>
                  </w:r>
                </w:p>
                <w:p>
                  <w:pPr>
                    <w:numPr>
                      <w:ilvl w:val="0"/>
                      <w:numId w:val="11839"/>
                    </w:numPr>
                    <w:shd w:val="clear" w:color="auto" w:fill="E1E2E0"/>
                    <w:spacing w:before="0" w:after="0" w:line="262" w:lineRule="auto"/>
                    <w:jc w:val="left"/>
                    <w:rPr>
                      <w:color w:val="00274C"/>
                      <w:sz w:val="20"/>
                      <w:szCs w:val="20"/>
                      <w:highlight w:val="lightGray"/>
                    </w:rPr>
                  </w:pPr>
                  <w:r>
                    <w:rPr>
                      <w:color w:val="00274C"/>
                      <w:position w:val="-2"/>
                      <w:sz w:val="20"/>
                      <w:szCs w:val="20"/>
                      <w:u w:val="none"/>
                      <w:shd w:val="clear" w:color="auto" w:fill="E1E2E0"/>
                    </w:rPr>
                    <w:t xml:space="preserve">Démarrer le moteur et, si des anomalies sont signalées au cours du démarrage ou du fonctionnement, l’arrêter, attendre 5 min, puis le redémarrer.</w:t>
                  </w:r>
                </w:p>
              </w:tc>
            </w:tr>
          </w:tbl>
          <w:p/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43">
    <w:multiLevelType w:val="hybridMultilevel"/>
    <w:lvl w:ilvl="0" w:tplc="35776123">
      <w:start w:val="1"/>
      <w:numFmt w:val="decimal"/>
      <w:lvlText w:val="%1."/>
      <w:lvlJc w:val="left"/>
      <w:pPr>
        <w:ind w:left="720" w:hanging="360"/>
      </w:pPr>
    </w:lvl>
    <w:lvl w:ilvl="1" w:tplc="35776123" w:tentative="1">
      <w:start w:val="1"/>
      <w:numFmt w:val="lowerLetter"/>
      <w:lvlText w:val="%2."/>
      <w:lvlJc w:val="left"/>
      <w:pPr>
        <w:ind w:left="1440" w:hanging="360"/>
      </w:pPr>
    </w:lvl>
    <w:lvl w:ilvl="2" w:tplc="35776123" w:tentative="1">
      <w:start w:val="1"/>
      <w:numFmt w:val="lowerRoman"/>
      <w:lvlText w:val="%3."/>
      <w:lvlJc w:val="right"/>
      <w:pPr>
        <w:ind w:left="2160" w:hanging="180"/>
      </w:pPr>
    </w:lvl>
    <w:lvl w:ilvl="3" w:tplc="35776123" w:tentative="1">
      <w:start w:val="1"/>
      <w:numFmt w:val="decimal"/>
      <w:lvlText w:val="%4."/>
      <w:lvlJc w:val="left"/>
      <w:pPr>
        <w:ind w:left="2880" w:hanging="360"/>
      </w:pPr>
    </w:lvl>
    <w:lvl w:ilvl="4" w:tplc="35776123" w:tentative="1">
      <w:start w:val="1"/>
      <w:numFmt w:val="lowerLetter"/>
      <w:lvlText w:val="%5."/>
      <w:lvlJc w:val="left"/>
      <w:pPr>
        <w:ind w:left="3600" w:hanging="360"/>
      </w:pPr>
    </w:lvl>
    <w:lvl w:ilvl="5" w:tplc="35776123" w:tentative="1">
      <w:start w:val="1"/>
      <w:numFmt w:val="lowerRoman"/>
      <w:lvlText w:val="%6."/>
      <w:lvlJc w:val="right"/>
      <w:pPr>
        <w:ind w:left="4320" w:hanging="180"/>
      </w:pPr>
    </w:lvl>
    <w:lvl w:ilvl="6" w:tplc="35776123" w:tentative="1">
      <w:start w:val="1"/>
      <w:numFmt w:val="decimal"/>
      <w:lvlText w:val="%7."/>
      <w:lvlJc w:val="left"/>
      <w:pPr>
        <w:ind w:left="5040" w:hanging="360"/>
      </w:pPr>
    </w:lvl>
    <w:lvl w:ilvl="7" w:tplc="35776123" w:tentative="1">
      <w:start w:val="1"/>
      <w:numFmt w:val="lowerLetter"/>
      <w:lvlText w:val="%8."/>
      <w:lvlJc w:val="left"/>
      <w:pPr>
        <w:ind w:left="5760" w:hanging="360"/>
      </w:pPr>
    </w:lvl>
    <w:lvl w:ilvl="8" w:tplc="35776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2">
    <w:multiLevelType w:val="hybridMultilevel"/>
    <w:lvl w:ilvl="0" w:tplc="53615246">
      <w:start w:val="1"/>
      <w:numFmt w:val="decimal"/>
      <w:lvlText w:val="%1."/>
      <w:lvlJc w:val="left"/>
      <w:pPr>
        <w:ind w:left="720" w:hanging="360"/>
      </w:pPr>
    </w:lvl>
    <w:lvl w:ilvl="1" w:tplc="53615246" w:tentative="1">
      <w:start w:val="1"/>
      <w:numFmt w:val="lowerLetter"/>
      <w:lvlText w:val="%2."/>
      <w:lvlJc w:val="left"/>
      <w:pPr>
        <w:ind w:left="1440" w:hanging="360"/>
      </w:pPr>
    </w:lvl>
    <w:lvl w:ilvl="2" w:tplc="53615246" w:tentative="1">
      <w:start w:val="1"/>
      <w:numFmt w:val="lowerRoman"/>
      <w:lvlText w:val="%3."/>
      <w:lvlJc w:val="right"/>
      <w:pPr>
        <w:ind w:left="2160" w:hanging="180"/>
      </w:pPr>
    </w:lvl>
    <w:lvl w:ilvl="3" w:tplc="53615246" w:tentative="1">
      <w:start w:val="1"/>
      <w:numFmt w:val="decimal"/>
      <w:lvlText w:val="%4."/>
      <w:lvlJc w:val="left"/>
      <w:pPr>
        <w:ind w:left="2880" w:hanging="360"/>
      </w:pPr>
    </w:lvl>
    <w:lvl w:ilvl="4" w:tplc="53615246" w:tentative="1">
      <w:start w:val="1"/>
      <w:numFmt w:val="lowerLetter"/>
      <w:lvlText w:val="%5."/>
      <w:lvlJc w:val="left"/>
      <w:pPr>
        <w:ind w:left="3600" w:hanging="360"/>
      </w:pPr>
    </w:lvl>
    <w:lvl w:ilvl="5" w:tplc="53615246" w:tentative="1">
      <w:start w:val="1"/>
      <w:numFmt w:val="lowerRoman"/>
      <w:lvlText w:val="%6."/>
      <w:lvlJc w:val="right"/>
      <w:pPr>
        <w:ind w:left="4320" w:hanging="180"/>
      </w:pPr>
    </w:lvl>
    <w:lvl w:ilvl="6" w:tplc="53615246" w:tentative="1">
      <w:start w:val="1"/>
      <w:numFmt w:val="decimal"/>
      <w:lvlText w:val="%7."/>
      <w:lvlJc w:val="left"/>
      <w:pPr>
        <w:ind w:left="5040" w:hanging="360"/>
      </w:pPr>
    </w:lvl>
    <w:lvl w:ilvl="7" w:tplc="53615246" w:tentative="1">
      <w:start w:val="1"/>
      <w:numFmt w:val="lowerLetter"/>
      <w:lvlText w:val="%8."/>
      <w:lvlJc w:val="left"/>
      <w:pPr>
        <w:ind w:left="5760" w:hanging="360"/>
      </w:pPr>
    </w:lvl>
    <w:lvl w:ilvl="8" w:tplc="5361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1">
    <w:multiLevelType w:val="hybridMultilevel"/>
    <w:lvl w:ilvl="0" w:tplc="38352948">
      <w:start w:val="1"/>
      <w:numFmt w:val="decimal"/>
      <w:lvlText w:val="%1."/>
      <w:lvlJc w:val="left"/>
      <w:pPr>
        <w:ind w:left="720" w:hanging="360"/>
      </w:pPr>
    </w:lvl>
    <w:lvl w:ilvl="1" w:tplc="38352948" w:tentative="1">
      <w:start w:val="1"/>
      <w:numFmt w:val="lowerLetter"/>
      <w:lvlText w:val="%2."/>
      <w:lvlJc w:val="left"/>
      <w:pPr>
        <w:ind w:left="1440" w:hanging="360"/>
      </w:pPr>
    </w:lvl>
    <w:lvl w:ilvl="2" w:tplc="38352948" w:tentative="1">
      <w:start w:val="1"/>
      <w:numFmt w:val="lowerRoman"/>
      <w:lvlText w:val="%3."/>
      <w:lvlJc w:val="right"/>
      <w:pPr>
        <w:ind w:left="2160" w:hanging="180"/>
      </w:pPr>
    </w:lvl>
    <w:lvl w:ilvl="3" w:tplc="38352948" w:tentative="1">
      <w:start w:val="1"/>
      <w:numFmt w:val="decimal"/>
      <w:lvlText w:val="%4."/>
      <w:lvlJc w:val="left"/>
      <w:pPr>
        <w:ind w:left="2880" w:hanging="360"/>
      </w:pPr>
    </w:lvl>
    <w:lvl w:ilvl="4" w:tplc="38352948" w:tentative="1">
      <w:start w:val="1"/>
      <w:numFmt w:val="lowerLetter"/>
      <w:lvlText w:val="%5."/>
      <w:lvlJc w:val="left"/>
      <w:pPr>
        <w:ind w:left="3600" w:hanging="360"/>
      </w:pPr>
    </w:lvl>
    <w:lvl w:ilvl="5" w:tplc="38352948" w:tentative="1">
      <w:start w:val="1"/>
      <w:numFmt w:val="lowerRoman"/>
      <w:lvlText w:val="%6."/>
      <w:lvlJc w:val="right"/>
      <w:pPr>
        <w:ind w:left="4320" w:hanging="180"/>
      </w:pPr>
    </w:lvl>
    <w:lvl w:ilvl="6" w:tplc="38352948" w:tentative="1">
      <w:start w:val="1"/>
      <w:numFmt w:val="decimal"/>
      <w:lvlText w:val="%7."/>
      <w:lvlJc w:val="left"/>
      <w:pPr>
        <w:ind w:left="5040" w:hanging="360"/>
      </w:pPr>
    </w:lvl>
    <w:lvl w:ilvl="7" w:tplc="38352948" w:tentative="1">
      <w:start w:val="1"/>
      <w:numFmt w:val="lowerLetter"/>
      <w:lvlText w:val="%8."/>
      <w:lvlJc w:val="left"/>
      <w:pPr>
        <w:ind w:left="5760" w:hanging="360"/>
      </w:pPr>
    </w:lvl>
    <w:lvl w:ilvl="8" w:tplc="38352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40">
    <w:multiLevelType w:val="hybridMultilevel"/>
    <w:lvl w:ilvl="0" w:tplc="43517756">
      <w:start w:val="1"/>
      <w:numFmt w:val="decimal"/>
      <w:lvlText w:val="%1."/>
      <w:lvlJc w:val="left"/>
      <w:pPr>
        <w:ind w:left="720" w:hanging="360"/>
      </w:pPr>
    </w:lvl>
    <w:lvl w:ilvl="1" w:tplc="43517756" w:tentative="1">
      <w:start w:val="1"/>
      <w:numFmt w:val="lowerLetter"/>
      <w:lvlText w:val="%2."/>
      <w:lvlJc w:val="left"/>
      <w:pPr>
        <w:ind w:left="1440" w:hanging="360"/>
      </w:pPr>
    </w:lvl>
    <w:lvl w:ilvl="2" w:tplc="43517756" w:tentative="1">
      <w:start w:val="1"/>
      <w:numFmt w:val="lowerRoman"/>
      <w:lvlText w:val="%3."/>
      <w:lvlJc w:val="right"/>
      <w:pPr>
        <w:ind w:left="2160" w:hanging="180"/>
      </w:pPr>
    </w:lvl>
    <w:lvl w:ilvl="3" w:tplc="43517756" w:tentative="1">
      <w:start w:val="1"/>
      <w:numFmt w:val="decimal"/>
      <w:lvlText w:val="%4."/>
      <w:lvlJc w:val="left"/>
      <w:pPr>
        <w:ind w:left="2880" w:hanging="360"/>
      </w:pPr>
    </w:lvl>
    <w:lvl w:ilvl="4" w:tplc="43517756" w:tentative="1">
      <w:start w:val="1"/>
      <w:numFmt w:val="lowerLetter"/>
      <w:lvlText w:val="%5."/>
      <w:lvlJc w:val="left"/>
      <w:pPr>
        <w:ind w:left="3600" w:hanging="360"/>
      </w:pPr>
    </w:lvl>
    <w:lvl w:ilvl="5" w:tplc="43517756" w:tentative="1">
      <w:start w:val="1"/>
      <w:numFmt w:val="lowerRoman"/>
      <w:lvlText w:val="%6."/>
      <w:lvlJc w:val="right"/>
      <w:pPr>
        <w:ind w:left="4320" w:hanging="180"/>
      </w:pPr>
    </w:lvl>
    <w:lvl w:ilvl="6" w:tplc="43517756" w:tentative="1">
      <w:start w:val="1"/>
      <w:numFmt w:val="decimal"/>
      <w:lvlText w:val="%7."/>
      <w:lvlJc w:val="left"/>
      <w:pPr>
        <w:ind w:left="5040" w:hanging="360"/>
      </w:pPr>
    </w:lvl>
    <w:lvl w:ilvl="7" w:tplc="43517756" w:tentative="1">
      <w:start w:val="1"/>
      <w:numFmt w:val="lowerLetter"/>
      <w:lvlText w:val="%8."/>
      <w:lvlJc w:val="left"/>
      <w:pPr>
        <w:ind w:left="5760" w:hanging="360"/>
      </w:pPr>
    </w:lvl>
    <w:lvl w:ilvl="8" w:tplc="43517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39">
    <w:multiLevelType w:val="hybridMultilevel"/>
    <w:lvl w:ilvl="0" w:tplc="39578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11839">
    <w:abstractNumId w:val="11839"/>
  </w:num>
  <w:num w:numId="11840">
    <w:abstractNumId w:val="11840"/>
  </w:num>
  <w:num w:numId="11841">
    <w:abstractNumId w:val="11841"/>
  </w:num>
  <w:num w:numId="11842">
    <w:abstractNumId w:val="11842"/>
  </w:num>
  <w:num w:numId="11843">
    <w:abstractNumId w:val="118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721929846" Type="http://schemas.openxmlformats.org/officeDocument/2006/relationships/comments" Target="comments.xml"/><Relationship Id="rId148015315" Type="http://schemas.microsoft.com/office/2011/relationships/commentsExtended" Target="commentsExtended.xml"/><Relationship Id="rId44795808" Type="http://schemas.openxmlformats.org/officeDocument/2006/relationships/image" Target="media/imgrId44795808.jpg"/><Relationship Id="rId362562a8a13201f79" Type="http://schemas.openxmlformats.org/officeDocument/2006/relationships/hyperlink" Target="https://iservice.lombardini.it/jsp/Template2/manuale.jsp?id=117&amp;parent=1273" TargetMode="External"/><Relationship Id="rId162662a8a132022f6" Type="http://schemas.openxmlformats.org/officeDocument/2006/relationships/hyperlink" Target="https://iservice.lombardini.it/jsp/Template2/manuale.jsp?id=551&amp;parent=1273" TargetMode="External"/><Relationship Id="rId225662a8a13202feb" Type="http://schemas.openxmlformats.org/officeDocument/2006/relationships/hyperlink" Target="https://iservice.lombardini.it/jsp/Template2/manuale.jsp?id=117&amp;parent=1273" TargetMode="External"/><Relationship Id="rId428262a8a13204a8c" Type="http://schemas.openxmlformats.org/officeDocument/2006/relationships/hyperlink" Target="https://iservice.lombardini.it/jsp/Template2/manuale.jsp?id=584&amp;parent=1273" TargetMode="External"/><Relationship Id="rId948262a8a1320542a" Type="http://schemas.openxmlformats.org/officeDocument/2006/relationships/hyperlink" Target="https://iservice.lombardini.it/jsp/Template2/manuale.jsp?id=584&amp;parent=1273" TargetMode="External"/><Relationship Id="rId994462a8a1320bca1" Type="http://schemas.openxmlformats.org/officeDocument/2006/relationships/hyperlink" Target="https://iservice.lombardini.it/jsp/Template2/manuale.jsp?id=635&amp;parent=1273" TargetMode="External"/><Relationship Id="rId754462a8a1320c699" Type="http://schemas.openxmlformats.org/officeDocument/2006/relationships/hyperlink" Target="https://iservice.lombardini.it/jsp/Template2/manuale.jsp?id=554&amp;parent=1273" TargetMode="External"/><Relationship Id="rId813262a8a1320caec" Type="http://schemas.openxmlformats.org/officeDocument/2006/relationships/hyperlink" Target="https://iservice.lombardini.it/jsp/Template2/manuale.jsp?id=555&amp;parent=1273" TargetMode="External"/><Relationship Id="rId233262a8a1320cd8d" Type="http://schemas.openxmlformats.org/officeDocument/2006/relationships/hyperlink" Target="https://iservice.lombardini.it/jsp/Template2/manuale.jsp?id=553&amp;parent=1273" TargetMode="External"/><Relationship Id="rId936062a8a1320ceb3" Type="http://schemas.openxmlformats.org/officeDocument/2006/relationships/hyperlink" Target="https://iservice.lombardini.it/jsp/Template2/manuale.jsp?id=556&amp;parent=1273" TargetMode="External"/><Relationship Id="rId725262a8a1320173c" Type="http://schemas.openxmlformats.org/officeDocument/2006/relationships/image" Target="media/imgrId725262a8a1320173c.jpg"/><Relationship Id="rId592562a8a1320b23d" Type="http://schemas.openxmlformats.org/officeDocument/2006/relationships/image" Target="media/imgrId592562a8a1320b23d.jpg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4795808" Type="http://schemas.openxmlformats.org/officeDocument/2006/relationships/image" Target="media/imgrId44795808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4795808" Type="http://schemas.openxmlformats.org/officeDocument/2006/relationships/image" Target="media/imgrId44795808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4795808" Type="http://schemas.openxmlformats.org/officeDocument/2006/relationships/image" Target="media/imgrId44795808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4795808" Type="http://schemas.openxmlformats.org/officeDocument/2006/relationships/image" Target="media/imgrId44795808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4795808" Type="http://schemas.openxmlformats.org/officeDocument/2006/relationships/image" Target="media/imgrId44795808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44795808" Type="http://schemas.openxmlformats.org/officeDocument/2006/relationships/image" Target="media/imgrId44795808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