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KDI-TCP 3404 E5 Owner Manual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67322126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5430596"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8228240" w:name="ctxt"/>
    <w:bookmarkEnd w:id="78228240"/>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3"/>
                    </w:rPr>
                    <w:drawing>
                      <wp:inline distT="0" distB="0" distL="0" distR="0">
                        <wp:extent cx="1080000" cy="741600"/>
                        <wp:effectExtent b="0" l="0" r="0" t="0"/>
                        <wp:docPr id="16294801" name="name646962ab3d57136ac"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366762ab3d57136a6"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35924283" w:name="result_box"/>
                <w:bookmarkEnd w:id="35924283"/>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56596977" w:name="result_box"/>
                <w:bookmarkEnd w:id="56596977"/>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9677270" name="name830462ab3d571bea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37662ab3d571be9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1302"/>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1302"/>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1302"/>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1302"/>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1302"/>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659198" name="name661762ab3d57277e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35462ab3d57277d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1302"/>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1302"/>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1302"/>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1302"/>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1302"/>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11302"/>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1302"/>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1302"/>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752427" name="name744862ab3d5735a5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80962ab3d5735a5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Any failures resulting from the use of fuels other than recommended will not be warranted.</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49293082" name="name538262ab3d57423a1"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06362ab3d574239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1302"/>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1302"/>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 In a warranty case the customer must prove by a certificate from the fuel supplier that an allowed fuel was used.</w:t>
            </w:r>
          </w:p>
          <w:p/>
          <w:p/>
          <w:p>
            <w:pPr>
              <w:widowControl w:val="on"/>
              <w:pBdr/>
              <w:spacing w:before="0" w:after="0" w:line="262" w:lineRule="auto"/>
              <w:ind w:left="0" w:right="0"/>
              <w:jc w:val="left"/>
              <w:textAlignment w:val="center"/>
            </w:pPr>
            <w:r>
              <w:rPr>
                <w:b/>
                <w:bCs/>
                <w:color w:val="00274C"/>
                <w:position w:val="-2"/>
                <w:sz w:val="20"/>
                <w:szCs w:val="20"/>
                <w:u w:val="none"/>
              </w:rPr>
              <w:t xml:space="preserve">KDI Electronic Injection Tier 4 final – Stage IIIB – Stage IV- Stage V certified Engine</w:t>
            </w:r>
          </w:p>
          <w:p>
            <w:pPr>
              <w:widowControl w:val="on"/>
              <w:pBdr/>
              <w:spacing w:before="0" w:after="0" w:line="262" w:lineRule="auto"/>
              <w:ind w:left="0" w:right="0"/>
              <w:jc w:val="left"/>
              <w:textAlignment w:val="center"/>
            </w:pPr>
            <w:r>
              <w:rPr>
                <w:color w:val="00274C"/>
                <w:position w:val="-2"/>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p>
          <w:p/>
          <w:p/>
          <w:p>
            <w:pPr>
              <w:widowControl w:val="on"/>
              <w:pBdr/>
              <w:spacing w:before="0" w:after="0" w:line="262" w:lineRule="auto"/>
              <w:ind w:left="0" w:right="0"/>
              <w:jc w:val="left"/>
              <w:textAlignment w:val="center"/>
            </w:pPr>
            <w:r>
              <w:rPr>
                <w:color w:val="00274C"/>
                <w:position w:val="-2"/>
                <w:sz w:val="20"/>
                <w:szCs w:val="20"/>
                <w:u w:val="none"/>
              </w:rP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When operating the engine in ambient temperatures lower than 0 degrees C, use suitable low temperature fuel normally available from fuel distributors and corresponding to the specifications of Tab. 2.3.</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These fuels reduce the formation of paraffin in diesel at low temperatures. </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When paraffin forms in the diesel, the fuel filter becomes blocked interrupting the flow of fuel.</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2.5.2 </w:t>
            </w:r>
            <w:r>
              <w:rPr>
                <w:color w:val="00274C"/>
                <w:position w:val="-2"/>
                <w:sz w:val="20"/>
                <w:szCs w:val="20"/>
                <w:u w:val="none"/>
              </w:rPr>
              <w:t xml:space="preserve"> </w:t>
            </w:r>
            <w:r>
              <w:rPr>
                <w:b/>
                <w:bCs/>
                <w:color w:val="00274C"/>
                <w:position w:val="-2"/>
                <w:sz w:val="20"/>
                <w:szCs w:val="20"/>
                <w:u w:val="none"/>
              </w:rPr>
              <w:t xml:space="preserve">Biodiesel fuel</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Fuels containing 10% methyl ester or B10, are suitable for use in this engine provided that they meet the specifications listed in the Tab. 2.3.</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DO NOT USE vegetable oil as a biofuel for this engine.</w:t>
            </w:r>
          </w:p>
          <w:p>
            <w:pPr>
              <w:widowControl w:val="on"/>
              <w:pBdr/>
              <w:spacing w:before="0" w:after="0" w:line="262" w:lineRule="auto"/>
              <w:ind w:left="0" w:right="0"/>
              <w:jc w:val="righ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BIODIESEL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2.5.3 Synthetic fuels: GTL, CTL, BTL, HV</w:t>
            </w:r>
          </w:p>
          <w:p>
            <w:pPr>
              <w:widowControl w:val="on"/>
              <w:pBdr/>
              <w:spacing w:before="0" w:after="0" w:line="262" w:lineRule="auto"/>
              <w:ind w:left="0" w:right="0"/>
              <w:jc w:val="left"/>
              <w:textAlignment w:val="center"/>
            </w:pPr>
            <w:r>
              <w:rPr>
                <w:color w:val="00274C"/>
                <w:position w:val="-2"/>
                <w:sz w:val="20"/>
                <w:szCs w:val="20"/>
                <w:u w:val="none"/>
              </w:rPr>
              <w:t xml:space="preserve">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p>
          <w:p>
            <w:pPr>
              <w:widowControl w:val="on"/>
              <w:pBdr/>
              <w:spacing w:before="0" w:after="0" w:line="262" w:lineRule="auto"/>
              <w:ind w:left="0" w:right="0"/>
              <w:jc w:val="left"/>
              <w:textAlignment w:val="center"/>
            </w:pPr>
            <w:r>
              <w:rPr>
                <w:color w:val="00274C"/>
                <w:position w:val="-2"/>
                <w:sz w:val="20"/>
                <w:szCs w:val="20"/>
                <w:u w:val="none"/>
              </w:rPr>
              <w:t xml:space="preserve">Therefore, conversion from diesel fuel to synthetic fuel may only be done after changing the critical seals. The problem of shrinkage does not occur when an engine was operated with synthetic fuel from the start.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2.5.4 Emission-Related Installation Instructions</w:t>
            </w:r>
          </w:p>
          <w:p>
            <w:pPr>
              <w:widowControl w:val="on"/>
              <w:pBdr/>
              <w:spacing w:before="0" w:after="0" w:line="262" w:lineRule="auto"/>
              <w:ind w:left="0" w:right="0"/>
              <w:jc w:val="left"/>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Alignment w:val="center"/>
            </w:pPr>
            <w:r>
              <w:rPr>
                <w:color w:val="00274C"/>
                <w:position w:val="-2"/>
                <w:sz w:val="20"/>
                <w:szCs w:val="20"/>
                <w:u w:val="none"/>
              </w:rPr>
              <w:t xml:space="preserve">OEM must apply a separate label with the following statement: “ULTRA LOW SULFUR FUEL ONLY” near the fuel inlet.</w:t>
            </w:r>
          </w:p>
          <w:p>
            <w:pPr>
              <w:widowControl w:val="on"/>
              <w:pBdr/>
              <w:spacing w:before="0" w:after="0" w:line="262" w:lineRule="auto"/>
              <w:ind w:left="0" w:right="0"/>
              <w:jc w:val="left"/>
              <w:textAlignment w:val="center"/>
            </w:pPr>
            <w:r>
              <w:rPr>
                <w:color w:val="00274C"/>
                <w:position w:val="-2"/>
                <w:sz w:val="20"/>
                <w:szCs w:val="20"/>
                <w:u w:val="none"/>
              </w:rPr>
              <w:t xml:space="preserve">Ensure you are installing an engine appropriately certified for your application. Constant speed engines may only be installed on constant speed equipment for constant speed operation.</w:t>
            </w:r>
          </w:p>
          <w:p>
            <w:pPr>
              <w:widowControl w:val="on"/>
              <w:pBdr/>
              <w:spacing w:before="0" w:after="0" w:line="262" w:lineRule="auto"/>
              <w:ind w:left="0" w:right="0"/>
              <w:jc w:val="left"/>
              <w:textAlignment w:val="center"/>
            </w:pPr>
            <w:r>
              <w:rPr>
                <w:color w:val="00274C"/>
                <w:position w:val="-2"/>
                <w:sz w:val="20"/>
                <w:szCs w:val="20"/>
                <w:u w:val="none"/>
              </w:rPr>
              <w:t xml:space="preserve">If you install the engine in a way that makes the engine's emission control information label hard to read during normal engine maintenance, you must place a duplicate label on the equipment, as described in 40 CFR 1068.105.5.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11304"/>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1305"/>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11305"/>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11305"/>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11305"/>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11305"/>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2611931" name="name454562ab3d575037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13162ab3d575037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8088977" name="name866362ab3d57642d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35162ab3d57642c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13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13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13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13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13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13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13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1302"/>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1302"/>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Engine operating status (green = no problem detected)</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56101873" name="name873062ab3d577dd08"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581562ab3d577dcfe"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305">
    <w:multiLevelType w:val="hybridMultilevel"/>
    <w:lvl w:ilvl="0" w:tplc="78470853">
      <w:start w:val="1"/>
      <w:numFmt w:val="decimal"/>
      <w:lvlText w:val="%1."/>
      <w:lvlJc w:val="left"/>
      <w:pPr>
        <w:ind w:left="720" w:hanging="360"/>
      </w:pPr>
    </w:lvl>
    <w:lvl w:ilvl="1" w:tplc="78470853" w:tentative="1">
      <w:start w:val="1"/>
      <w:numFmt w:val="lowerLetter"/>
      <w:lvlText w:val="%2."/>
      <w:lvlJc w:val="left"/>
      <w:pPr>
        <w:ind w:left="1440" w:hanging="360"/>
      </w:pPr>
    </w:lvl>
    <w:lvl w:ilvl="2" w:tplc="78470853" w:tentative="1">
      <w:start w:val="1"/>
      <w:numFmt w:val="lowerRoman"/>
      <w:lvlText w:val="%3."/>
      <w:lvlJc w:val="right"/>
      <w:pPr>
        <w:ind w:left="2160" w:hanging="180"/>
      </w:pPr>
    </w:lvl>
    <w:lvl w:ilvl="3" w:tplc="78470853" w:tentative="1">
      <w:start w:val="1"/>
      <w:numFmt w:val="decimal"/>
      <w:lvlText w:val="%4."/>
      <w:lvlJc w:val="left"/>
      <w:pPr>
        <w:ind w:left="2880" w:hanging="360"/>
      </w:pPr>
    </w:lvl>
    <w:lvl w:ilvl="4" w:tplc="78470853" w:tentative="1">
      <w:start w:val="1"/>
      <w:numFmt w:val="lowerLetter"/>
      <w:lvlText w:val="%5."/>
      <w:lvlJc w:val="left"/>
      <w:pPr>
        <w:ind w:left="3600" w:hanging="360"/>
      </w:pPr>
    </w:lvl>
    <w:lvl w:ilvl="5" w:tplc="78470853" w:tentative="1">
      <w:start w:val="1"/>
      <w:numFmt w:val="lowerRoman"/>
      <w:lvlText w:val="%6."/>
      <w:lvlJc w:val="right"/>
      <w:pPr>
        <w:ind w:left="4320" w:hanging="180"/>
      </w:pPr>
    </w:lvl>
    <w:lvl w:ilvl="6" w:tplc="78470853" w:tentative="1">
      <w:start w:val="1"/>
      <w:numFmt w:val="decimal"/>
      <w:lvlText w:val="%7."/>
      <w:lvlJc w:val="left"/>
      <w:pPr>
        <w:ind w:left="5040" w:hanging="360"/>
      </w:pPr>
    </w:lvl>
    <w:lvl w:ilvl="7" w:tplc="78470853" w:tentative="1">
      <w:start w:val="1"/>
      <w:numFmt w:val="lowerLetter"/>
      <w:lvlText w:val="%8."/>
      <w:lvlJc w:val="left"/>
      <w:pPr>
        <w:ind w:left="5760" w:hanging="360"/>
      </w:pPr>
    </w:lvl>
    <w:lvl w:ilvl="8" w:tplc="78470853" w:tentative="1">
      <w:start w:val="1"/>
      <w:numFmt w:val="lowerRoman"/>
      <w:lvlText w:val="%9."/>
      <w:lvlJc w:val="right"/>
      <w:pPr>
        <w:ind w:left="6480" w:hanging="180"/>
      </w:pPr>
    </w:lvl>
  </w:abstractNum>
  <w:abstractNum w:abstractNumId="11304">
    <w:multiLevelType w:val="hybridMultilevel"/>
    <w:lvl w:ilvl="0" w:tplc="76865872">
      <w:start w:val="1"/>
      <w:numFmt w:val="decimal"/>
      <w:lvlText w:val="%1."/>
      <w:lvlJc w:val="left"/>
      <w:pPr>
        <w:ind w:left="720" w:hanging="360"/>
      </w:pPr>
    </w:lvl>
    <w:lvl w:ilvl="1" w:tplc="76865872" w:tentative="1">
      <w:start w:val="1"/>
      <w:numFmt w:val="lowerLetter"/>
      <w:lvlText w:val="%2."/>
      <w:lvlJc w:val="left"/>
      <w:pPr>
        <w:ind w:left="1440" w:hanging="360"/>
      </w:pPr>
    </w:lvl>
    <w:lvl w:ilvl="2" w:tplc="76865872" w:tentative="1">
      <w:start w:val="1"/>
      <w:numFmt w:val="lowerRoman"/>
      <w:lvlText w:val="%3."/>
      <w:lvlJc w:val="right"/>
      <w:pPr>
        <w:ind w:left="2160" w:hanging="180"/>
      </w:pPr>
    </w:lvl>
    <w:lvl w:ilvl="3" w:tplc="76865872" w:tentative="1">
      <w:start w:val="1"/>
      <w:numFmt w:val="decimal"/>
      <w:lvlText w:val="%4."/>
      <w:lvlJc w:val="left"/>
      <w:pPr>
        <w:ind w:left="2880" w:hanging="360"/>
      </w:pPr>
    </w:lvl>
    <w:lvl w:ilvl="4" w:tplc="76865872" w:tentative="1">
      <w:start w:val="1"/>
      <w:numFmt w:val="lowerLetter"/>
      <w:lvlText w:val="%5."/>
      <w:lvlJc w:val="left"/>
      <w:pPr>
        <w:ind w:left="3600" w:hanging="360"/>
      </w:pPr>
    </w:lvl>
    <w:lvl w:ilvl="5" w:tplc="76865872" w:tentative="1">
      <w:start w:val="1"/>
      <w:numFmt w:val="lowerRoman"/>
      <w:lvlText w:val="%6."/>
      <w:lvlJc w:val="right"/>
      <w:pPr>
        <w:ind w:left="4320" w:hanging="180"/>
      </w:pPr>
    </w:lvl>
    <w:lvl w:ilvl="6" w:tplc="76865872" w:tentative="1">
      <w:start w:val="1"/>
      <w:numFmt w:val="decimal"/>
      <w:lvlText w:val="%7."/>
      <w:lvlJc w:val="left"/>
      <w:pPr>
        <w:ind w:left="5040" w:hanging="360"/>
      </w:pPr>
    </w:lvl>
    <w:lvl w:ilvl="7" w:tplc="76865872" w:tentative="1">
      <w:start w:val="1"/>
      <w:numFmt w:val="lowerLetter"/>
      <w:lvlText w:val="%8."/>
      <w:lvlJc w:val="left"/>
      <w:pPr>
        <w:ind w:left="5760" w:hanging="360"/>
      </w:pPr>
    </w:lvl>
    <w:lvl w:ilvl="8" w:tplc="76865872" w:tentative="1">
      <w:start w:val="1"/>
      <w:numFmt w:val="lowerRoman"/>
      <w:lvlText w:val="%9."/>
      <w:lvlJc w:val="right"/>
      <w:pPr>
        <w:ind w:left="6480" w:hanging="180"/>
      </w:pPr>
    </w:lvl>
  </w:abstractNum>
  <w:abstractNum w:abstractNumId="11303">
    <w:multiLevelType w:val="hybridMultilevel"/>
    <w:lvl w:ilvl="0" w:tplc="75955253">
      <w:start w:val="1"/>
      <w:numFmt w:val="decimal"/>
      <w:lvlText w:val="%1."/>
      <w:lvlJc w:val="left"/>
      <w:pPr>
        <w:ind w:left="720" w:hanging="360"/>
      </w:pPr>
    </w:lvl>
    <w:lvl w:ilvl="1" w:tplc="75955253" w:tentative="1">
      <w:start w:val="1"/>
      <w:numFmt w:val="lowerLetter"/>
      <w:lvlText w:val="%2."/>
      <w:lvlJc w:val="left"/>
      <w:pPr>
        <w:ind w:left="1440" w:hanging="360"/>
      </w:pPr>
    </w:lvl>
    <w:lvl w:ilvl="2" w:tplc="75955253" w:tentative="1">
      <w:start w:val="1"/>
      <w:numFmt w:val="lowerRoman"/>
      <w:lvlText w:val="%3."/>
      <w:lvlJc w:val="right"/>
      <w:pPr>
        <w:ind w:left="2160" w:hanging="180"/>
      </w:pPr>
    </w:lvl>
    <w:lvl w:ilvl="3" w:tplc="75955253" w:tentative="1">
      <w:start w:val="1"/>
      <w:numFmt w:val="decimal"/>
      <w:lvlText w:val="%4."/>
      <w:lvlJc w:val="left"/>
      <w:pPr>
        <w:ind w:left="2880" w:hanging="360"/>
      </w:pPr>
    </w:lvl>
    <w:lvl w:ilvl="4" w:tplc="75955253" w:tentative="1">
      <w:start w:val="1"/>
      <w:numFmt w:val="lowerLetter"/>
      <w:lvlText w:val="%5."/>
      <w:lvlJc w:val="left"/>
      <w:pPr>
        <w:ind w:left="3600" w:hanging="360"/>
      </w:pPr>
    </w:lvl>
    <w:lvl w:ilvl="5" w:tplc="75955253" w:tentative="1">
      <w:start w:val="1"/>
      <w:numFmt w:val="lowerRoman"/>
      <w:lvlText w:val="%6."/>
      <w:lvlJc w:val="right"/>
      <w:pPr>
        <w:ind w:left="4320" w:hanging="180"/>
      </w:pPr>
    </w:lvl>
    <w:lvl w:ilvl="6" w:tplc="75955253" w:tentative="1">
      <w:start w:val="1"/>
      <w:numFmt w:val="decimal"/>
      <w:lvlText w:val="%7."/>
      <w:lvlJc w:val="left"/>
      <w:pPr>
        <w:ind w:left="5040" w:hanging="360"/>
      </w:pPr>
    </w:lvl>
    <w:lvl w:ilvl="7" w:tplc="75955253" w:tentative="1">
      <w:start w:val="1"/>
      <w:numFmt w:val="lowerLetter"/>
      <w:lvlText w:val="%8."/>
      <w:lvlJc w:val="left"/>
      <w:pPr>
        <w:ind w:left="5760" w:hanging="360"/>
      </w:pPr>
    </w:lvl>
    <w:lvl w:ilvl="8" w:tplc="75955253" w:tentative="1">
      <w:start w:val="1"/>
      <w:numFmt w:val="lowerRoman"/>
      <w:lvlText w:val="%9."/>
      <w:lvlJc w:val="right"/>
      <w:pPr>
        <w:ind w:left="6480" w:hanging="180"/>
      </w:pPr>
    </w:lvl>
  </w:abstractNum>
  <w:abstractNum w:abstractNumId="11302">
    <w:multiLevelType w:val="hybridMultilevel"/>
    <w:lvl w:ilvl="0" w:tplc="926856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1302">
    <w:abstractNumId w:val="11302"/>
  </w:num>
  <w:num w:numId="11303">
    <w:abstractNumId w:val="11303"/>
  </w:num>
  <w:num w:numId="11304">
    <w:abstractNumId w:val="11304"/>
  </w:num>
  <w:num w:numId="11305">
    <w:abstractNumId w:val="113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46660583" Type="http://schemas.openxmlformats.org/officeDocument/2006/relationships/comments" Target="comments.xml"/><Relationship Id="rId479775397" Type="http://schemas.microsoft.com/office/2011/relationships/commentsExtended" Target="commentsExtended.xml"/><Relationship Id="rId15430596" Type="http://schemas.openxmlformats.org/officeDocument/2006/relationships/image" Target="media/imgrId15430596.jpg"/><Relationship Id="rId366762ab3d57136a6" Type="http://schemas.openxmlformats.org/officeDocument/2006/relationships/image" Target="media/imgrId366762ab3d57136a6.png"/><Relationship Id="rId437662ab3d571be9e" Type="http://schemas.openxmlformats.org/officeDocument/2006/relationships/image" Target="media/imgrId437662ab3d571be9e.jpg"/><Relationship Id="rId235462ab3d57277df" Type="http://schemas.openxmlformats.org/officeDocument/2006/relationships/image" Target="media/imgrId235462ab3d57277df.jpg"/><Relationship Id="rId380962ab3d5735a56" Type="http://schemas.openxmlformats.org/officeDocument/2006/relationships/image" Target="media/imgrId380962ab3d5735a56.png"/><Relationship Id="rId206362ab3d574239a" Type="http://schemas.openxmlformats.org/officeDocument/2006/relationships/image" Target="media/imgrId206362ab3d574239a.png"/><Relationship Id="rId813162ab3d5750374" Type="http://schemas.openxmlformats.org/officeDocument/2006/relationships/image" Target="media/imgrId813162ab3d5750374.png"/><Relationship Id="rId935162ab3d57642ca" Type="http://schemas.openxmlformats.org/officeDocument/2006/relationships/image" Target="media/imgrId935162ab3d57642ca.png"/><Relationship Id="rId581562ab3d577dcfe" Type="http://schemas.openxmlformats.org/officeDocument/2006/relationships/image" Target="media/imgrId581562ab3d577dcfe.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5430596" Type="http://schemas.openxmlformats.org/officeDocument/2006/relationships/image" Target="media/imgrId1543059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5430596" Type="http://schemas.openxmlformats.org/officeDocument/2006/relationships/image" Target="media/imgrId1543059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5430596" Type="http://schemas.openxmlformats.org/officeDocument/2006/relationships/image" Target="media/imgrId1543059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5430596" Type="http://schemas.openxmlformats.org/officeDocument/2006/relationships/image" Target="media/imgrId1543059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5430596" Type="http://schemas.openxmlformats.org/officeDocument/2006/relationships/image" Target="media/imgrId1543059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5430596" Type="http://schemas.openxmlformats.org/officeDocument/2006/relationships/image" Target="media/imgrId1543059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