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TCR / KDI 3404 TCR HT (REV. 11.4)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0260639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152982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7219982" w:name="ctxt"/>
    <w:bookmarkEnd w:id="87219982"/>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temps avec cylindres en ligne; - Refroidissement par liquide;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soupapes par cylindre avec poussoirs hydrauliques;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Turbocompresseur avec soupape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Injection directe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UNITÉ DE MESURE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281600" cy="842400"/>
                  <wp:effectExtent b="0" l="0" r="0" t="0"/>
                  <wp:docPr id="53817315" name="name829462b44ed84135d"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991062b44ed841359" cstate="print"/>
                          <a:stretch>
                            <a:fillRect/>
                          </a:stretch>
                        </pic:blipFill>
                        <pic:spPr>
                          <a:xfrm>
                            <a:off x="0" y="0"/>
                            <a:ext cx="128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99927952" w:name="result_box"/>
          <w:bookmarkEnd w:id="99927952"/>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9978447" w:name="result_box"/>
          <w:bookmarkEnd w:id="9978447"/>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Les cotes d'encombrement varient en fonction de la configuration du moteur.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5544000" cy="3304800"/>
            <wp:effectExtent b="0" l="0" r="0" t="0"/>
            <wp:docPr id="53681402" name="name688262b44ed854527"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404262b44ed85451e"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2.1 - Fig. 2.2</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453833" name="name307662b44ed85a6f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77162b44ed85a6f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3332"/>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13332"/>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13332"/>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13332"/>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13332"/>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782023" name="name486262b44ed863e5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28162b44ed863e5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332"/>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13332"/>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13332"/>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13332"/>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13332"/>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HUILE PRESCRIT</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3332"/>
        </w:numPr>
        <w:spacing w:before="0" w:after="0" w:line="240" w:lineRule="auto"/>
        <w:jc w:val="left"/>
        <w:rPr>
          <w:color w:val="00274C"/>
          <w:sz w:val="20"/>
          <w:szCs w:val="20"/>
        </w:rPr>
      </w:pPr>
      <w:r>
        <w:rPr>
          <w:color w:val="00274C"/>
          <w:sz w:val="20"/>
          <w:szCs w:val="20"/>
          <w:u w:val="none"/>
        </w:rPr>
        <w:t xml:space="preserve">La technologie Low S.AP.S. (huile présentant une faible teneur en cendres sulfatées, en phosphore et en soufre), maintient le catalyseur en bonnes conditions de fonctionnement. La présence de cendres sulfatées, de phosphore et de soufre entraîne au fil du temps un colmatage du catalyseur et donc son manque d’efficacité.</w:t>
      </w:r>
    </w:p>
    <w:p>
      <w:pPr>
        <w:numPr>
          <w:ilvl w:val="0"/>
          <w:numId w:val="13332"/>
        </w:numPr>
        <w:spacing w:before="0" w:after="0" w:line="240" w:lineRule="auto"/>
        <w:jc w:val="left"/>
        <w:rPr>
          <w:color w:val="00274C"/>
          <w:sz w:val="20"/>
          <w:szCs w:val="20"/>
        </w:rPr>
      </w:pPr>
      <w:r>
        <w:rPr>
          <w:color w:val="00274C"/>
          <w:sz w:val="20"/>
          <w:szCs w:val="20"/>
          <w:u w:val="none"/>
        </w:rPr>
        <w:t xml:space="preserve">Pour la séquence d’huile Mid S.A.P.S, le niveau de cendres sulfatées est identique à l'API CJ-4 ≤ 1,0 %, mais conformément à la normalisation ACEA, ces huiles sont référencées sous Mid SAPS.</w:t>
      </w:r>
    </w:p>
    <w:p>
      <w:pPr>
        <w:numPr>
          <w:ilvl w:val="0"/>
          <w:numId w:val="13332"/>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w:t>
      </w:r>
      <w:r>
        <w:rPr>
          <w:b/>
          <w:bCs/>
          <w:color w:val="00274C"/>
          <w:sz w:val="20"/>
          <w:szCs w:val="20"/>
          <w:u w:val="none"/>
        </w:rPr>
        <w:t xml:space="preserve">-</w:t>
      </w:r>
      <w:r>
        <w:rPr>
          <w:b/>
          <w:bCs/>
          <w:color w:val="00274C"/>
          <w:sz w:val="20"/>
          <w:szCs w:val="20"/>
          <w:u w:val="none"/>
        </w:rPr>
        <w:t xml:space="preserve"> REMARQUE</w:t>
      </w:r>
      <w:r>
        <w:rPr>
          <w:color w:val="00274C"/>
          <w:sz w:val="20"/>
          <w:szCs w:val="20"/>
          <w:u w:val="none"/>
        </w:rPr>
        <w:t xml:space="preserve"> : NE PAS utiliser de carburant dont la teneur en soufre est supérieure à 15 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Sur tous les moteurs conformes aux normes sur les émissions Stage-V (moteurs pourvus du dispositif DPF), l’huile utilisée doit être obligatoirement conforme à la spécification API CJ-4 Low S.A.P.S ou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NE PAS utiliser de carburant dont la teneur en soufre est supérieure à 500 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Les huiles « low SAPS », avec des cendres sulfatées 50 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429078" name="name545662b44ed873c8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91062b44ed873c8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332"/>
        </w:numPr>
        <w:spacing w:before="0" w:after="0" w:line="240" w:lineRule="auto"/>
        <w:jc w:val="left"/>
        <w:rPr>
          <w:color w:val="00274C"/>
          <w:sz w:val="20"/>
          <w:szCs w:val="20"/>
        </w:rPr>
      </w:pPr>
      <w:r>
        <w:rPr>
          <w:color w:val="00274C"/>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13332"/>
        </w:numPr>
        <w:spacing w:before="0" w:after="0" w:line="240" w:lineRule="auto"/>
        <w:jc w:val="left"/>
        <w:rPr>
          <w:color w:val="00274C"/>
          <w:sz w:val="20"/>
          <w:szCs w:val="20"/>
        </w:rPr>
      </w:pPr>
      <w:r>
        <w:rPr>
          <w:b/>
          <w:bCs/>
          <w:color w:val="00274C"/>
          <w:sz w:val="20"/>
          <w:szCs w:val="20"/>
          <w:u w:val="none"/>
        </w:rPr>
        <w:t xml:space="preserve">Toute défaillance résultant de l’utilisation de carburants autres que ceux recommandée, ne sera pas prise en charge sous garantie.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536468" name="name588962b44ed87b3d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78162b44ed87b3d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332"/>
        </w:numPr>
        <w:spacing w:before="0" w:after="0" w:line="240" w:lineRule="auto"/>
        <w:jc w:val="left"/>
        <w:rPr>
          <w:color w:val="00274C"/>
          <w:sz w:val="20"/>
          <w:szCs w:val="20"/>
        </w:rPr>
      </w:pPr>
      <w:r>
        <w:rPr>
          <w:color w:val="00274C"/>
          <w:sz w:val="20"/>
          <w:szCs w:val="20"/>
          <w:u w:val="none"/>
        </w:rPr>
        <w:t xml:space="preserve">Un carburant propre évite le colmatage des injecteurs de carburant. Nettoyer immédiatement tout déversement pendant le remplissage.</w:t>
      </w:r>
    </w:p>
    <w:p>
      <w:pPr>
        <w:numPr>
          <w:ilvl w:val="0"/>
          <w:numId w:val="13332"/>
        </w:numPr>
        <w:spacing w:before="0" w:after="0" w:line="240" w:lineRule="auto"/>
        <w:jc w:val="left"/>
        <w:rPr>
          <w:color w:val="00274C"/>
          <w:sz w:val="20"/>
          <w:szCs w:val="20"/>
        </w:rPr>
      </w:pPr>
      <w:r>
        <w:rPr>
          <w:color w:val="00274C"/>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COMPATIBILITÉ DE CARBURANT</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N°1, N°2</w:t>
            </w:r>
          </w:p>
        </w:tc>
      </w:tr>
    </w:tbl>
    <w:p>
      <w:pPr>
        <w:widowControl w:val="on"/>
        <w:pBdr/>
        <w:spacing w:before="0" w:after="0" w:line="262" w:lineRule="auto"/>
        <w:ind w:left="0" w:right="0"/>
        <w:jc w:val="left"/>
      </w:pPr>
      <w:r>
        <w:rPr>
          <w:b/>
          <w:bCs/>
          <w:color w:val="00274C"/>
          <w:sz w:val="20"/>
          <w:szCs w:val="20"/>
          <w:u w:val="none"/>
        </w:rPr>
        <w:t xml:space="preserve">REMARQUE: </w:t>
      </w:r>
      <w:r>
        <w:rPr>
          <w:color w:val="00274C"/>
          <w:sz w:val="20"/>
          <w:szCs w:val="20"/>
          <w:u w:val="none"/>
        </w:rPr>
        <w:t xml:space="preserve"> En cas de garantie, le client doit prouver par le biais d’un certificat délivré par le fournisseur de carburant, qu’un carburant autorisé a été utilisé.</w:t>
      </w:r>
    </w:p>
    <w:p>
      <w:pPr>
        <w:widowControl w:val="on"/>
        <w:pBdr/>
        <w:spacing w:before="0" w:after="0" w:line="262" w:lineRule="auto"/>
        <w:ind w:left="0" w:right="0"/>
        <w:jc w:val="left"/>
      </w:pPr>
      <w:r>
        <w:rPr>
          <w:b/>
          <w:bCs/>
          <w:i/>
          <w:iCs/>
          <w:color w:val="00274C"/>
          <w:sz w:val="20"/>
          <w:szCs w:val="20"/>
          <w:u w:val="none"/>
        </w:rPr>
        <w:br/>
        <w:t xml:space="preserve">KDI Injection électronique certifiés Tier 4 final – Stage IIIB – Stage IV- Stage V</w:t>
      </w:r>
    </w:p>
    <w:p>
      <w:pPr>
        <w:numPr>
          <w:ilvl w:val="0"/>
          <w:numId w:val="13332"/>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sont équipés de dispositifs de post-traitement des gaz d’échappement, tels qu’un convertisseurs catalytiques à oxydation diesel (DOC), un filtre à particules diesel (DPF) et un système de réduction catalytique sélective (SCR), ils peuvent uniquement être exploités avec des carburants diesel exempts de soufre (EN 590, DIN 5168, ASTM D975 Qualité 2-D S15, ASTM D975 Qualité 1-D S15). Sinon, la conformité avec les exigences d’émission et la durabilité ne sont plus garanties.</w:t>
      </w:r>
      <w:r>
        <w:rPr>
          <w:color w:val="00274C"/>
          <w:sz w:val="20"/>
          <w:szCs w:val="20"/>
          <w:u w:val="none"/>
        </w:rPr>
        <w:br/>
        <w:t xml:space="preserve">Une capacité de lubrification insuffisante peut entraîner de graves problèmes d’usure notamment dans les systèmes d’injection Common Rail. Une capacité de lubrification trop basse constitue un réel problème pour les carburants à teneur faible en soufre (à cet égard, les teneurs en soufre ‹ 500 mg/kg peuvent être considérées comme faibles). Une capacité de lubrification appropriée est garantie grâce aux additifs adaptés dans les carburants diesel à faible teneur en soufre (‹50 mg/kg) ou exempts de soufre (‹10 mg/kg ou ‹15 mg/kg), conformément à la norme EN 590 et ASTM D975. Pour les carburants à faible teneur en soufre et exempts de soufre, qui ne sont pas conformes avec cette norme, la capacité de lubrification doit être garantie par des additifs. Le critère pour une capacité de lubrification suffisante est un point d’usure maximum de 460 micromètres lors de l’essai HFRR (EN ISO 12156-1).</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 Injection électronique certifiés émissions équivalentes aux moteurs Tier 3 – Stage IIIA (moteurs EGR)</w:t>
      </w:r>
    </w:p>
    <w:p>
      <w:pPr>
        <w:numPr>
          <w:ilvl w:val="0"/>
          <w:numId w:val="13332"/>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500 mg/kg (ppm). La conformité avec les exigences en matière d’émissions est garantie uniquement pour une teneur en soufre de maximum 350 mg/kg (ppm).</w:t>
      </w:r>
      <w:r>
        <w:rPr>
          <w:color w:val="00274C"/>
          <w:sz w:val="20"/>
          <w:szCs w:val="20"/>
          <w:u w:val="none"/>
        </w:rPr>
        <w:br/>
        <w:t xml:space="preserve">Les carburants d’une teneur en soufre &gt; 50 mg/kg nécessitent un intervalle plus cours de vidange de l’huile de lubrification. Il est fixé à 250 heures. Néanmoins, l’huile moteur doit être changée lorsque l’indice d'alcalinité totale (TBN) est réduit à 6,0 mgKOH/g, selon la méthode d’essai ASTM D4739. Ne pas utiliser les huiles moteur « low SAPS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Carburant pour températures basses</w:t>
      </w:r>
    </w:p>
    <w:p>
      <w:pPr>
        <w:numPr>
          <w:ilvl w:val="0"/>
          <w:numId w:val="13332"/>
        </w:numPr>
        <w:spacing w:before="0" w:after="0" w:line="240" w:lineRule="auto"/>
        <w:jc w:val="left"/>
        <w:rPr>
          <w:color w:val="00274C"/>
          <w:sz w:val="20"/>
          <w:szCs w:val="20"/>
        </w:rPr>
      </w:pPr>
      <w:r>
        <w:rPr>
          <w:color w:val="00274C"/>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w:t>
      </w:r>
      <w:r>
        <w:rPr>
          <w:b/>
          <w:bCs/>
          <w:color w:val="00274C"/>
          <w:sz w:val="20"/>
          <w:szCs w:val="20"/>
          <w:u w:val="none"/>
        </w:rPr>
        <w:t xml:space="preserve">tab. 2.3.</w:t>
      </w:r>
    </w:p>
    <w:p>
      <w:pPr>
        <w:numPr>
          <w:ilvl w:val="0"/>
          <w:numId w:val="13332"/>
        </w:numPr>
        <w:spacing w:before="0" w:after="0" w:line="240" w:lineRule="auto"/>
        <w:jc w:val="left"/>
        <w:rPr>
          <w:color w:val="00274C"/>
          <w:sz w:val="20"/>
          <w:szCs w:val="20"/>
        </w:rPr>
      </w:pPr>
      <w:r>
        <w:rPr>
          <w:color w:val="00274C"/>
          <w:sz w:val="20"/>
          <w:szCs w:val="20"/>
          <w:u w:val="none"/>
        </w:rPr>
        <w:t xml:space="preserve">Ces carburants réduisent la formation de paraffine dans le carburant à basses températures.</w:t>
      </w:r>
    </w:p>
    <w:p>
      <w:pPr>
        <w:numPr>
          <w:ilvl w:val="0"/>
          <w:numId w:val="13332"/>
        </w:numPr>
        <w:spacing w:before="0" w:after="0" w:line="240" w:lineRule="auto"/>
        <w:jc w:val="left"/>
        <w:rPr>
          <w:color w:val="00274C"/>
          <w:sz w:val="20"/>
          <w:szCs w:val="20"/>
        </w:rPr>
      </w:pPr>
      <w:r>
        <w:rPr>
          <w:color w:val="00274C"/>
          <w:sz w:val="20"/>
          <w:szCs w:val="20"/>
          <w:u w:val="none"/>
        </w:rPr>
        <w:t xml:space="preserve">Lorsque de la paraffine se forme dans le carburant, le filtre à carburant se bouche ce qui interrompt l’écoulement du carburant.</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 Biodiesel</w:t>
      </w:r>
    </w:p>
    <w:p>
      <w:pPr>
        <w:numPr>
          <w:ilvl w:val="0"/>
          <w:numId w:val="13332"/>
        </w:numPr>
        <w:spacing w:before="0" w:after="0" w:line="240" w:lineRule="auto"/>
        <w:jc w:val="left"/>
        <w:rPr>
          <w:color w:val="00274C"/>
          <w:sz w:val="20"/>
          <w:szCs w:val="20"/>
        </w:rPr>
      </w:pPr>
      <w:r>
        <w:rPr>
          <w:color w:val="00274C"/>
          <w:sz w:val="20"/>
          <w:szCs w:val="20"/>
          <w:u w:val="none"/>
        </w:rPr>
        <w:t xml:space="preserve">Les carburants contenant 10 % d’esther de méthyle ou B10, conviennent pour une utilisation dans ce moteur à condition qu’ils respectent les spécifications du </w:t>
      </w:r>
      <w:r>
        <w:rPr>
          <w:b/>
          <w:bCs/>
          <w:color w:val="00274C"/>
          <w:sz w:val="20"/>
          <w:szCs w:val="20"/>
          <w:u w:val="none"/>
        </w:rPr>
        <w:t xml:space="preserve">tab. 2.3</w:t>
      </w:r>
      <w:r>
        <w:rPr>
          <w:color w:val="00274C"/>
          <w:sz w:val="20"/>
          <w:szCs w:val="20"/>
          <w:u w:val="none"/>
        </w:rPr>
        <w:t xml:space="preserve"> .</w:t>
      </w:r>
    </w:p>
    <w:p>
      <w:pPr>
        <w:numPr>
          <w:ilvl w:val="0"/>
          <w:numId w:val="13332"/>
        </w:numPr>
        <w:spacing w:before="0" w:after="0" w:line="240" w:lineRule="auto"/>
        <w:jc w:val="left"/>
        <w:rPr>
          <w:color w:val="00274C"/>
          <w:sz w:val="20"/>
          <w:szCs w:val="20"/>
        </w:rPr>
      </w:pPr>
      <w:r>
        <w:rPr>
          <w:b/>
          <w:bCs/>
          <w:color w:val="00274C"/>
          <w:sz w:val="20"/>
          <w:szCs w:val="20"/>
          <w:u w:val="none"/>
        </w:rPr>
        <w:t xml:space="preserve">NE PAS UTILISER</w:t>
      </w:r>
      <w:r>
        <w:rPr>
          <w:color w:val="00274C"/>
          <w:sz w:val="20"/>
          <w:szCs w:val="20"/>
          <w:u w:val="none"/>
        </w:rPr>
        <w:t xml:space="preserve"> d’huile végétale comme biocarburant pour ce moteur.</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COMPATIBILITÉ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Carburants de synthèse : GTL, CTL, BTL, HV</w:t>
      </w:r>
      <w:r>
        <w:rPr>
          <w:color w:val="00274C"/>
          <w:sz w:val="20"/>
          <w:szCs w:val="20"/>
          <w:u w:val="none"/>
        </w:rPr>
        <w:b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Carburants non-routiers</w:t>
      </w:r>
    </w:p>
    <w:p>
      <w:pPr>
        <w:widowControl w:val="on"/>
        <w:pBdr/>
        <w:spacing w:before="0" w:after="0" w:line="262" w:lineRule="auto"/>
        <w:ind w:left="0" w:right="0"/>
        <w:jc w:val="left"/>
      </w:pPr>
      <w:r>
        <w:rPr>
          <w:i/>
          <w:iCs/>
          <w:color w:val="00274C"/>
          <w:sz w:val="20"/>
          <w:szCs w:val="20"/>
          <w:u w:val="none"/>
        </w:rPr>
        <w:br/>
        <w:t xml:space="preserve">Uniquement pour KDI Injection électronique sans teneur Tier 3 – Stage IIIA émissions équivalentes aux moteurs certifiés.</w:t>
      </w:r>
    </w:p>
    <w:p>
      <w:pPr>
        <w:widowControl w:val="on"/>
        <w:pBdr/>
        <w:spacing w:before="0" w:after="0" w:line="262" w:lineRule="auto"/>
        <w:ind w:left="0" w:right="0"/>
        <w:jc w:val="left"/>
      </w:pPr>
      <w:r>
        <w:rPr>
          <w:color w:val="00274C"/>
          <w:sz w:val="20"/>
          <w:szCs w:val="20"/>
          <w:u w:val="none"/>
        </w:rPr>
        <w:br/>
        <w:t xml:space="preserve">D’autres carburants non-routiers peuvent être utilisés s’ils sont conformes avec les valeurs-limites de la norme EN 590 sauf en ce qui concerne la densité de carburant, l’indice de cétane et la teneur en soufre.</w:t>
      </w:r>
      <w:r>
        <w:rPr>
          <w:color w:val="00274C"/>
          <w:sz w:val="20"/>
          <w:szCs w:val="20"/>
          <w:u w:val="none"/>
        </w:rPr>
        <w:br/>
        <w:t xml:space="preserve">Les limites suivantes s’appliquent pour ces paramètres:</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PARAMETRE CARBURANT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cétane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de carburant à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Teneur en soufre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ou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 Instructions d’installation relatives aux émissions</w:t>
      </w:r>
      <w:r>
        <w:rPr>
          <w:color w:val="00274C"/>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L’équipementier OEM doit apposer une étiquette séparée comportant la déclaration suivante : « UNIQUEMENT CARBURANT A TENEUR ULTRA-BASSE EN SULFURE » à côté de l’entrée de carburant.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Assurez-vous d’installer un moteur doté des certifications appropriées pour votre application. Des moteurs à vitesse constante peuvent être installés sur un équipement à vitesse constante pour un fonctionnement à vitesse constante.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Si vous installez le moteur d’une manière qui rend difficile la lecture de l’étiquette comportant les informations de contrôle d’émission du moteur pendant la maintenance normale du moteur, vous devez placer une autre étiquette sur l’équipement, comme décrit dans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332"/>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13332"/>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321911" name="name550762b44ed88aed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35662b44ed88aec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3332"/>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13332"/>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Tableau de commande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Dans le </w:t>
            </w:r>
            <w:r>
              <w:rPr>
                <w:b/>
                <w:bCs/>
                <w:color w:val="00274C"/>
                <w:position w:val="-2"/>
                <w:sz w:val="20"/>
                <w:szCs w:val="20"/>
                <w:u w:val="none"/>
              </w:rPr>
              <w:t xml:space="preserve">Tab. 2.8</w:t>
            </w:r>
            <w:r>
              <w:rPr>
                <w:color w:val="00274C"/>
                <w:position w:val="-2"/>
                <w:sz w:val="20"/>
                <w:szCs w:val="20"/>
                <w:u w:val="none"/>
              </w:rPr>
              <w:t xml:space="preserve">  sont indiqués les composants du tableau de commande.
</w:t>
            </w:r>
          </w:p>
          <w:p>
            <w:pPr>
              <w:widowControl w:val="on"/>
              <w:pBdr/>
              <w:spacing w:before="0" w:after="0" w:line="262" w:lineRule="auto"/>
              <w:ind w:left="0" w:right="0"/>
              <w:jc w:val="left"/>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d'allumage du tableau et moteur avec clé</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Écran pour consultation des données ou des erreurs du moteur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supérieur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inférieur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sélection ou saisie des données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LED d'état de fonctionnement du moteur (verte = aucun problème rencontré)</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1206309" name="name563962b44ed89b449"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336862b44ed89b443"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si la LED </w:t>
            </w:r>
            <w:r>
              <w:rPr>
                <w:b/>
                <w:bCs/>
                <w:color w:val="00274C"/>
                <w:position w:val="-2"/>
                <w:sz w:val="20"/>
                <w:szCs w:val="20"/>
                <w:u w:val="none"/>
              </w:rPr>
              <w:t xml:space="preserve">F</w:t>
            </w:r>
            <w:r>
              <w:rPr>
                <w:color w:val="00274C"/>
                <w:position w:val="-2"/>
                <w:sz w:val="20"/>
                <w:szCs w:val="20"/>
                <w:u w:val="none"/>
              </w:rPr>
              <w:t xml:space="preserve"> est allumée en rouge, consulter les ateliers autorisés </w:t>
            </w:r>
            <w:r>
              <w:rPr>
                <w:b/>
                <w:bCs/>
                <w:color w:val="00274C"/>
                <w:position w:val="-2"/>
                <w:sz w:val="20"/>
                <w:szCs w:val="20"/>
                <w:u w:val="none"/>
              </w:rPr>
              <w:t xml:space="preserve">KOHLER</w:t>
            </w:r>
            <w:r>
              <w:rPr>
                <w:color w:val="00274C"/>
                <w:position w:val="-2"/>
                <w:sz w:val="20"/>
                <w:szCs w:val="20"/>
                <w:u w:val="none"/>
              </w:rPr>
              <w:t xml:space="preserve"> pour connaître le type de problème. Pour certains problèmes, l'arrêt automatique du moteur se déclenche.</w:t>
            </w:r>
          </w:p>
          <w:p/>
          <w:p/>
          <w:p>
            <w:pPr>
              <w:widowControl w:val="on"/>
              <w:pBdr/>
              <w:spacing w:before="0" w:after="0" w:line="262" w:lineRule="auto"/>
              <w:ind w:left="0" w:right="0"/>
              <w:jc w:val="left"/>
              <w:textAlignment w:val="center"/>
            </w:pPr>
            <w:r>
              <w:rPr>
                <w:color w:val="00274C"/>
                <w:position w:val="-2"/>
                <w:sz w:val="20"/>
                <w:szCs w:val="20"/>
                <w:u w:val="none"/>
              </w:rPr>
              <w:t xml:space="preserve">Le </w:t>
            </w:r>
            <w:r>
              <w:rPr>
                <w:b/>
                <w:bCs/>
                <w:color w:val="00274C"/>
                <w:position w:val="-2"/>
                <w:sz w:val="20"/>
                <w:szCs w:val="20"/>
                <w:u w:val="none"/>
              </w:rPr>
              <w:t xml:space="preserve">Tab. 2.9</w:t>
            </w:r>
            <w:r>
              <w:rPr>
                <w:color w:val="00274C"/>
                <w:position w:val="-2"/>
                <w:sz w:val="20"/>
                <w:szCs w:val="20"/>
                <w:u w:val="none"/>
              </w:rPr>
              <w:t xml:space="preserve">  indique les données qu'il est possible de consulter à l'écran </w:t>
            </w:r>
            <w:r>
              <w:rPr>
                <w:b/>
                <w:bCs/>
                <w:color w:val="00274C"/>
                <w:position w:val="-2"/>
                <w:sz w:val="20"/>
                <w:szCs w:val="20"/>
                <w:u w:val="none"/>
              </w:rPr>
              <w:t xml:space="preserve">B</w:t>
            </w:r>
            <w:r>
              <w:rPr>
                <w:color w:val="00274C"/>
                <w:position w:val="-2"/>
                <w:sz w:val="20"/>
                <w:szCs w:val="20"/>
                <w:u w:val="none"/>
              </w:rPr>
              <w:t xml:space="preserve"> en appuyant sur les boutons </w:t>
            </w:r>
            <w:r>
              <w:rPr>
                <w:b/>
                <w:bCs/>
                <w:color w:val="00274C"/>
                <w:position w:val="-2"/>
                <w:sz w:val="20"/>
                <w:szCs w:val="20"/>
                <w:u w:val="none"/>
              </w:rPr>
              <w:t xml:space="preserve">C</w:t>
            </w:r>
            <w:r>
              <w:rPr>
                <w:color w:val="00274C"/>
                <w:position w:val="-2"/>
                <w:sz w:val="20"/>
                <w:szCs w:val="20"/>
                <w:u w:val="none"/>
              </w:rPr>
              <w:t xml:space="preserve"> ou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les données décrites dans le </w:t>
            </w:r>
            <w:r>
              <w:rPr>
                <w:b/>
                <w:bCs/>
                <w:color w:val="00274C"/>
                <w:position w:val="-2"/>
                <w:sz w:val="20"/>
                <w:szCs w:val="20"/>
                <w:u w:val="none"/>
              </w:rPr>
              <w:t xml:space="preserve">Tab. 2.9</w:t>
            </w:r>
            <w:r>
              <w:rPr>
                <w:color w:val="00274C"/>
                <w:position w:val="-2"/>
                <w:sz w:val="20"/>
                <w:szCs w:val="20"/>
                <w:u w:val="none"/>
              </w:rPr>
              <w:t xml:space="preserve">  peuvent être différentes; dans ce cas, consulter le manuel de la machine.</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de fonctionnement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restantes jusqu'à l'entretien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moteur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huile moteur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 du réfrigérant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 utilisé @ rpm (% d'utilisation)</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33">
    <w:multiLevelType w:val="hybridMultilevel"/>
    <w:lvl w:ilvl="0" w:tplc="96698450">
      <w:start w:val="1"/>
      <w:numFmt w:val="decimal"/>
      <w:lvlText w:val="%1."/>
      <w:lvlJc w:val="left"/>
      <w:pPr>
        <w:ind w:left="720" w:hanging="360"/>
      </w:pPr>
    </w:lvl>
    <w:lvl w:ilvl="1" w:tplc="96698450" w:tentative="1">
      <w:start w:val="1"/>
      <w:numFmt w:val="lowerLetter"/>
      <w:lvlText w:val="%2."/>
      <w:lvlJc w:val="left"/>
      <w:pPr>
        <w:ind w:left="1440" w:hanging="360"/>
      </w:pPr>
    </w:lvl>
    <w:lvl w:ilvl="2" w:tplc="96698450" w:tentative="1">
      <w:start w:val="1"/>
      <w:numFmt w:val="lowerRoman"/>
      <w:lvlText w:val="%3."/>
      <w:lvlJc w:val="right"/>
      <w:pPr>
        <w:ind w:left="2160" w:hanging="180"/>
      </w:pPr>
    </w:lvl>
    <w:lvl w:ilvl="3" w:tplc="96698450" w:tentative="1">
      <w:start w:val="1"/>
      <w:numFmt w:val="decimal"/>
      <w:lvlText w:val="%4."/>
      <w:lvlJc w:val="left"/>
      <w:pPr>
        <w:ind w:left="2880" w:hanging="360"/>
      </w:pPr>
    </w:lvl>
    <w:lvl w:ilvl="4" w:tplc="96698450" w:tentative="1">
      <w:start w:val="1"/>
      <w:numFmt w:val="lowerLetter"/>
      <w:lvlText w:val="%5."/>
      <w:lvlJc w:val="left"/>
      <w:pPr>
        <w:ind w:left="3600" w:hanging="360"/>
      </w:pPr>
    </w:lvl>
    <w:lvl w:ilvl="5" w:tplc="96698450" w:tentative="1">
      <w:start w:val="1"/>
      <w:numFmt w:val="lowerRoman"/>
      <w:lvlText w:val="%6."/>
      <w:lvlJc w:val="right"/>
      <w:pPr>
        <w:ind w:left="4320" w:hanging="180"/>
      </w:pPr>
    </w:lvl>
    <w:lvl w:ilvl="6" w:tplc="96698450" w:tentative="1">
      <w:start w:val="1"/>
      <w:numFmt w:val="decimal"/>
      <w:lvlText w:val="%7."/>
      <w:lvlJc w:val="left"/>
      <w:pPr>
        <w:ind w:left="5040" w:hanging="360"/>
      </w:pPr>
    </w:lvl>
    <w:lvl w:ilvl="7" w:tplc="96698450" w:tentative="1">
      <w:start w:val="1"/>
      <w:numFmt w:val="lowerLetter"/>
      <w:lvlText w:val="%8."/>
      <w:lvlJc w:val="left"/>
      <w:pPr>
        <w:ind w:left="5760" w:hanging="360"/>
      </w:pPr>
    </w:lvl>
    <w:lvl w:ilvl="8" w:tplc="96698450" w:tentative="1">
      <w:start w:val="1"/>
      <w:numFmt w:val="lowerRoman"/>
      <w:lvlText w:val="%9."/>
      <w:lvlJc w:val="right"/>
      <w:pPr>
        <w:ind w:left="6480" w:hanging="180"/>
      </w:pPr>
    </w:lvl>
  </w:abstractNum>
  <w:abstractNum w:abstractNumId="13332">
    <w:multiLevelType w:val="hybridMultilevel"/>
    <w:lvl w:ilvl="0" w:tplc="952399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332">
    <w:abstractNumId w:val="13332"/>
  </w:num>
  <w:num w:numId="13333">
    <w:abstractNumId w:val="133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67380648" Type="http://schemas.openxmlformats.org/officeDocument/2006/relationships/comments" Target="comments.xml"/><Relationship Id="rId628819540" Type="http://schemas.microsoft.com/office/2011/relationships/commentsExtended" Target="commentsExtended.xml"/><Relationship Id="rId51529822" Type="http://schemas.openxmlformats.org/officeDocument/2006/relationships/image" Target="media/imgrId51529822.jpg"/><Relationship Id="rId991062b44ed841359" Type="http://schemas.openxmlformats.org/officeDocument/2006/relationships/image" Target="media/imgrId991062b44ed841359.jpg"/><Relationship Id="rId404262b44ed85451e" Type="http://schemas.openxmlformats.org/officeDocument/2006/relationships/image" Target="media/imgrId404262b44ed85451e.jpg"/><Relationship Id="rId177162b44ed85a6f4" Type="http://schemas.openxmlformats.org/officeDocument/2006/relationships/image" Target="media/imgrId177162b44ed85a6f4.jpg"/><Relationship Id="rId328162b44ed863e52" Type="http://schemas.openxmlformats.org/officeDocument/2006/relationships/image" Target="media/imgrId328162b44ed863e52.jpg"/><Relationship Id="rId991062b44ed873c87" Type="http://schemas.openxmlformats.org/officeDocument/2006/relationships/image" Target="media/imgrId991062b44ed873c87.jpg"/><Relationship Id="rId778162b44ed87b3d9" Type="http://schemas.openxmlformats.org/officeDocument/2006/relationships/image" Target="media/imgrId778162b44ed87b3d9.jpg"/><Relationship Id="rId135662b44ed88aecb" Type="http://schemas.openxmlformats.org/officeDocument/2006/relationships/image" Target="media/imgrId135662b44ed88aecb.png"/><Relationship Id="rId336862b44ed89b443" Type="http://schemas.openxmlformats.org/officeDocument/2006/relationships/image" Target="media/imgrId336862b44ed89b443.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1529822" Type="http://schemas.openxmlformats.org/officeDocument/2006/relationships/image" Target="media/imgrId515298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1529822" Type="http://schemas.openxmlformats.org/officeDocument/2006/relationships/image" Target="media/imgrId515298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1529822" Type="http://schemas.openxmlformats.org/officeDocument/2006/relationships/image" Target="media/imgrId515298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1529822" Type="http://schemas.openxmlformats.org/officeDocument/2006/relationships/image" Target="media/imgrId515298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1529822" Type="http://schemas.openxmlformats.org/officeDocument/2006/relationships/image" Target="media/imgrId515298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1529822" Type="http://schemas.openxmlformats.org/officeDocument/2006/relationships/image" Target="media/imgrId515298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