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1903 M  (Rev_14.2)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43401471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5140001"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33125417" w:name="ctxt"/>
    <w:bookmarkEnd w:id="33125417"/>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p>
      <w:pPr>
        <w:widowControl w:val="on"/>
        <w:pBdr/>
        <w:spacing w:before="0" w:after="0" w:line="262" w:lineRule="auto"/>
        <w:ind w:left="0" w:right="0"/>
        <w:jc w:val="left"/>
      </w:pPr>
      <w:r>
        <w:rPr>
          <w:color w:val="00274C"/>
          <w:sz w:val="20"/>
          <w:szCs w:val="20"/>
          <w:u w:val="none"/>
        </w:rPr>
        <w:t xml:space="preserve">- Diesel 4 tempi con cilindri in linea; - Raffreddamento a liquido;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valvole per cilindro con punterie idrauliche;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Iniezione diretta.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57789048" name="name819862beea950cb91"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320562beea950cb89" cstate="print"/>
                          <a:stretch>
                            <a:fillRect/>
                          </a:stretch>
                        </pic:blipFill>
                        <pic:spPr>
                          <a:xfrm>
                            <a:off x="0" y="0"/>
                            <a:ext cx="856800" cy="648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4"/>
              </w:rPr>
              <w:drawing>
                <wp:inline distT="0" distB="0" distL="0" distR="0">
                  <wp:extent cx="1101600" cy="756000"/>
                  <wp:effectExtent b="0" l="0" r="0" t="0"/>
                  <wp:docPr id="96098980" name="name460362beea9518fd2"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367362beea9518fca"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del motore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minuti</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max.1 minuto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p>
      <w:pPr>
        <w:widowControl w:val="on"/>
        <w:pBdr/>
        <w:spacing w:before="225" w:after="225" w:line="262" w:lineRule="auto"/>
        <w:ind w:left="0" w:right="0"/>
        <w:jc w:val="left"/>
      </w:pPr>
      <w:r>
        <w:drawing>
          <wp:inline distT="0" distB="0" distL="0" distR="0">
            <wp:extent cx="4752000" cy="2462400"/>
            <wp:effectExtent b="0" l="0" r="0" t="0"/>
            <wp:docPr id="54263738" name="name629262beea952a8ee" descr="10_Zss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ssHs_M.jpg"/>
                    <pic:cNvPicPr/>
                  </pic:nvPicPr>
                  <pic:blipFill>
                    <a:blip r:embed="rId396262beea952a8e6" cstate="print"/>
                    <a:stretch>
                      <a:fillRect/>
                    </a:stretch>
                  </pic:blipFill>
                  <pic:spPr>
                    <a:xfrm>
                      <a:off x="0" y="0"/>
                      <a:ext cx="4752000" cy="24624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8103725" name="name786462beea953499f"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21862beea9534999"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719"/>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2719"/>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2719"/>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2719"/>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2719"/>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6162799" name="name355562beea953d63f"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62462beea953d63b"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719"/>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2719"/>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2719"/>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708362beea953f071"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2719"/>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2719"/>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 PRESCRITTO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2719"/>
        </w:numPr>
        <w:spacing w:before="0" w:after="0" w:line="240" w:lineRule="auto"/>
        <w:jc w:val="left"/>
        <w:rPr>
          <w:color w:val="00274C"/>
          <w:sz w:val="20"/>
          <w:szCs w:val="20"/>
        </w:rPr>
      </w:pPr>
      <w:r>
        <w:rPr>
          <w:color w:val="00274C"/>
          <w:sz w:val="20"/>
          <w:szCs w:val="20"/>
          <w:u w:val="none"/>
        </w:rPr>
        <w:t xml:space="preserve">Gli oli Low S.A.P.S. con ceneri solfatate &lt;1% non possono essere usati con carburanti con contenuto di zolfo &gt;50ppm.</w:t>
      </w:r>
    </w:p>
    <w:p>
      <w:pPr>
        <w:numPr>
          <w:ilvl w:val="0"/>
          <w:numId w:val="2719"/>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9438706" name="name446162beea954935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08362beea954934e"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719"/>
        </w:numPr>
        <w:spacing w:before="0" w:after="0" w:line="240" w:lineRule="auto"/>
        <w:jc w:val="left"/>
        <w:rPr>
          <w:color w:val="00274C"/>
          <w:sz w:val="20"/>
          <w:szCs w:val="20"/>
        </w:rPr>
      </w:pPr>
      <w:r>
        <w:rPr>
          <w:color w:val="00274C"/>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2719"/>
        </w:numPr>
        <w:spacing w:before="0" w:after="0" w:line="240" w:lineRule="auto"/>
        <w:jc w:val="left"/>
        <w:rPr>
          <w:color w:val="00274C"/>
          <w:sz w:val="20"/>
          <w:szCs w:val="20"/>
        </w:rPr>
      </w:pPr>
      <w:r>
        <w:rPr>
          <w:b/>
          <w:bCs/>
          <w:color w:val="00274C"/>
          <w:sz w:val="20"/>
          <w:szCs w:val="20"/>
          <w:u w:val="none"/>
        </w:rPr>
        <w:t xml:space="preserve">Qualsiasi danno derivante dall’uso di carburanti diversi da quelli raccomandati non sarà coperto dalla garanzia.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6927798" name="name110462beea955365d"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867062beea9553658"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Avvertenza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719"/>
        </w:numPr>
        <w:spacing w:before="0" w:after="0" w:line="240" w:lineRule="auto"/>
        <w:jc w:val="left"/>
        <w:rPr>
          <w:color w:val="00274C"/>
          <w:sz w:val="20"/>
          <w:szCs w:val="20"/>
        </w:rPr>
      </w:pPr>
      <w:r>
        <w:rPr>
          <w:color w:val="00274C"/>
          <w:sz w:val="20"/>
          <w:szCs w:val="20"/>
          <w:u w:val="none"/>
        </w:rPr>
        <w:t xml:space="preserve">L’uso di carburante adeguatamente filtrato previene l’intasamento dell’impianto di iniezione. Pulire immediatamente qualsiasi fuoriuscita di carburante durante il rifornimento.</w:t>
      </w:r>
    </w:p>
    <w:p>
      <w:pPr>
        <w:numPr>
          <w:ilvl w:val="0"/>
          <w:numId w:val="2719"/>
        </w:numPr>
        <w:spacing w:before="0" w:after="0" w:line="240" w:lineRule="auto"/>
        <w:jc w:val="left"/>
        <w:rPr>
          <w:color w:val="00274C"/>
          <w:sz w:val="20"/>
          <w:szCs w:val="20"/>
        </w:rPr>
      </w:pPr>
      <w:r>
        <w:rPr>
          <w:color w:val="00274C"/>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widowControl w:val="on"/>
        <w:pBdr/>
        <w:spacing w:before="0" w:after="0" w:line="262" w:lineRule="auto"/>
        <w:ind w:left="0" w:right="0"/>
        <w:jc w:val="right"/>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COMPATIBILITÀ DEL CARBURANTE</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(contenuto max. biodiesel 7%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1-D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2-D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equivalente al carburante diesel in conformità alla norma EN 590</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 ASTM D 975 Grado 1, 2 -D S15 Diesel artico</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 1, N. 2</w:t>
            </w:r>
          </w:p>
        </w:tc>
      </w:tr>
    </w:tbl>
    <w:p>
      <w:pPr>
        <w:widowControl w:val="on"/>
        <w:pBdr/>
        <w:spacing w:before="0" w:after="0" w:line="262" w:lineRule="auto"/>
        <w:ind w:left="0" w:right="0"/>
        <w:jc w:val="left"/>
      </w:pPr>
      <w:r>
        <w:rPr>
          <w:b/>
          <w:bCs/>
          <w:color w:val="00274C"/>
          <w:sz w:val="20"/>
          <w:szCs w:val="20"/>
          <w:u w:val="none"/>
        </w:rPr>
        <w:t xml:space="preserve">NOTA:</w:t>
      </w:r>
      <w:r>
        <w:rPr>
          <w:color w:val="00274C"/>
          <w:sz w:val="20"/>
          <w:szCs w:val="20"/>
          <w:u w:val="none"/>
        </w:rPr>
        <w:t xml:space="preserve"> In caso di garanzia, il cliente deve dimostrare di aver utilizzato il carburante consentito mostrando un certificato rilasciato dal fornitore di carburante.</w:t>
      </w:r>
    </w:p>
    <w:p>
      <w:pPr>
        <w:widowControl w:val="on"/>
        <w:pBdr/>
        <w:spacing w:before="0" w:after="0" w:line="262" w:lineRule="auto"/>
        <w:ind w:left="0" w:right="0"/>
        <w:jc w:val="left"/>
      </w:pPr>
      <w:r>
        <w:rPr>
          <w:b/>
          <w:bCs/>
          <w:i/>
          <w:iCs/>
          <w:color w:val="00274C"/>
          <w:sz w:val="20"/>
          <w:szCs w:val="20"/>
          <w:u w:val="none"/>
        </w:rPr>
        <w:br/>
        <w:t xml:space="preserve">Motori KDI a iniezione meccanica certificati Tier 3 – Stage IIIA (con e senza EGR)</w:t>
      </w:r>
    </w:p>
    <w:p>
      <w:pPr>
        <w:numPr>
          <w:ilvl w:val="0"/>
          <w:numId w:val="2719"/>
        </w:numPr>
        <w:spacing w:before="0" w:after="0" w:line="240" w:lineRule="auto"/>
        <w:jc w:val="left"/>
        <w:rPr>
          <w:color w:val="00274C"/>
          <w:sz w:val="20"/>
          <w:szCs w:val="20"/>
        </w:rPr>
      </w:pPr>
      <w:r>
        <w:rPr>
          <w:color w:val="00274C"/>
          <w:sz w:val="20"/>
          <w:szCs w:val="20"/>
          <w:u w:val="none"/>
        </w:rPr>
        <w:t xml:space="preserve">Questi motori sono progettati per funzionare con carburanti conformi alle norme EN 590 e ASTM D975 per un numero di cetano non inferiore a 45. Poiché questi motori non sono dotati di sistemi di post-trattamento dei gas di scarico, possono essere usati con carburanti diesel con contenuto di zolfo fino a 500 mg/kg (ppm). Il rispetto dei requisiti relativi alle emissioni è garantito solo con contenuti di zolfo fino a 15 mg/kg (ppm).I motori alimentati con carburanti conformi alle norme EN 590 e ASTM D975 con contenuto di zolfo &lt; 15mg/kg sono soggetti a intervalli di cambio dell’olio di 500 ore. I carburanti con contenuto di zolfo &gt; 500 mg/kg richiedono un intervallo di sostituzione dell’olio lubrificante più breve di 250 ore. Tuttavia, l’olio motore deve essere sostituito quando il numero basico totale (Total Base Number, TBN) scende a 6,0 mg KOH/g secondo il metodo di test previsto dalla norma ASTM D4739. In caso di carburante con contenuto di zolfo elevato, questo può verificarsi a 125 ore. Non usare oli Low SAPS.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Motori KDI a iniezione meccanica non certificati (motori senza EGR)</w:t>
      </w:r>
    </w:p>
    <w:p>
      <w:pPr>
        <w:numPr>
          <w:ilvl w:val="0"/>
          <w:numId w:val="2719"/>
        </w:numPr>
        <w:spacing w:before="0" w:after="0" w:line="240" w:lineRule="auto"/>
        <w:jc w:val="left"/>
        <w:rPr>
          <w:color w:val="00274C"/>
          <w:sz w:val="20"/>
          <w:szCs w:val="20"/>
        </w:rPr>
      </w:pPr>
      <w:r>
        <w:rPr>
          <w:color w:val="00274C"/>
          <w:sz w:val="20"/>
          <w:szCs w:val="20"/>
          <w:u w:val="none"/>
        </w:rPr>
        <w:t xml:space="preserve">Questi motori sono progettati per funzionare con carburanti conformi alle norme EN 590 e ASTM D975 per un numero di cetano non inferiore a 45. Poiché questi motori non sono dotati di sistemi di post-trattamento dei gas di scarico, possono essere usati con carburanti diesel con contenuto di zolfo fino a 2000 mg/kg (ppm).I motori alimentati con carburanti conformi alle norme EN 590 e ASTM D975 con contenuto di zolfo &lt; 15mg/kg sono soggetti a intervalli di sostituzione dell’olio di 500 ore. I carburanti con contenuto di zolfo &gt; 500 mg/kg richiedono un intervallo di sostituzione dell’olio lubrificante più breve di 250 ore. Tuttavia, l’olio motore deve essere sostituito quando il numero basico totale (Total Base Number, TBN) scende a 6,0 mg KOH/g secondo il metodo di test previsto dalla norma ASTM D4739.</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t xml:space="preserve">2.5.1</w:t>
      </w:r>
      <w:r>
        <w:rPr>
          <w:color w:val="00274C"/>
          <w:sz w:val="20"/>
          <w:szCs w:val="20"/>
          <w:u w:val="none"/>
        </w:rPr>
        <w:t xml:space="preserve"> </w:t>
      </w:r>
      <w:r>
        <w:rPr>
          <w:b/>
          <w:bCs/>
          <w:color w:val="00274C"/>
          <w:sz w:val="20"/>
          <w:szCs w:val="20"/>
          <w:u w:val="none"/>
        </w:rPr>
        <w:t xml:space="preserve">Carburante per basse temperature</w:t>
      </w:r>
    </w:p>
    <w:p>
      <w:pPr>
        <w:numPr>
          <w:ilvl w:val="0"/>
          <w:numId w:val="2719"/>
        </w:numPr>
        <w:spacing w:before="0" w:after="0" w:line="240" w:lineRule="auto"/>
        <w:jc w:val="left"/>
        <w:rPr>
          <w:color w:val="00274C"/>
          <w:sz w:val="20"/>
          <w:szCs w:val="20"/>
        </w:rPr>
      </w:pPr>
      <w:r>
        <w:rPr>
          <w:color w:val="00274C"/>
          <w:sz w:val="20"/>
          <w:szCs w:val="20"/>
          <w:u w:val="none"/>
        </w:rPr>
        <w:t xml:space="preserve">Quando il motore viene usato a temperature ambiente inferiori a 0°C, usare carburanti idonei normalmente distribuiti dalle compagnie petrolifere e comunque corrispondenti alle specifiche di cui alla </w:t>
      </w:r>
      <w:r>
        <w:rPr>
          <w:b/>
          <w:bCs/>
          <w:color w:val="00274C"/>
          <w:sz w:val="20"/>
          <w:szCs w:val="20"/>
          <w:u w:val="none"/>
        </w:rPr>
        <w:t xml:space="preserve">Tab. 2.3.</w:t>
      </w:r>
    </w:p>
    <w:p>
      <w:pPr>
        <w:numPr>
          <w:ilvl w:val="0"/>
          <w:numId w:val="2719"/>
        </w:numPr>
        <w:spacing w:before="0" w:after="0" w:line="240" w:lineRule="auto"/>
        <w:jc w:val="left"/>
        <w:rPr>
          <w:color w:val="00274C"/>
          <w:sz w:val="20"/>
          <w:szCs w:val="20"/>
        </w:rPr>
      </w:pPr>
      <w:r>
        <w:rPr>
          <w:color w:val="00274C"/>
          <w:sz w:val="20"/>
          <w:szCs w:val="20"/>
          <w:u w:val="none"/>
        </w:rPr>
        <w:t xml:space="preserve">Questi carburanti limitano la formazione di paraffina alle basse temperature.</w:t>
      </w:r>
    </w:p>
    <w:p>
      <w:pPr>
        <w:numPr>
          <w:ilvl w:val="0"/>
          <w:numId w:val="2719"/>
        </w:numPr>
        <w:spacing w:before="0" w:after="0" w:line="240" w:lineRule="auto"/>
        <w:jc w:val="left"/>
        <w:rPr>
          <w:color w:val="00274C"/>
          <w:sz w:val="20"/>
          <w:szCs w:val="20"/>
        </w:rPr>
      </w:pPr>
      <w:r>
        <w:rPr>
          <w:color w:val="00274C"/>
          <w:sz w:val="20"/>
          <w:szCs w:val="20"/>
          <w:u w:val="none"/>
        </w:rPr>
        <w:t xml:space="preserve">Quando nel carburante si forma la paraffina, il filtro del carburante si intasa interrompendone il flusso.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t xml:space="preserve">2.5.2</w:t>
      </w:r>
      <w:r>
        <w:rPr>
          <w:b/>
          <w:bCs/>
          <w:color w:val="00274C"/>
          <w:sz w:val="20"/>
          <w:szCs w:val="20"/>
          <w:u w:val="none"/>
        </w:rPr>
        <w:t xml:space="preserve"> Carburante Biodiesel</w:t>
      </w:r>
    </w:p>
    <w:p>
      <w:pPr>
        <w:numPr>
          <w:ilvl w:val="0"/>
          <w:numId w:val="2719"/>
        </w:numPr>
        <w:spacing w:before="0" w:after="0" w:line="240" w:lineRule="auto"/>
        <w:jc w:val="left"/>
        <w:rPr>
          <w:color w:val="00274C"/>
          <w:sz w:val="20"/>
          <w:szCs w:val="20"/>
        </w:rPr>
      </w:pPr>
      <w:r>
        <w:rPr>
          <w:color w:val="00274C"/>
          <w:sz w:val="20"/>
          <w:szCs w:val="20"/>
          <w:u w:val="none"/>
        </w:rPr>
        <w:t xml:space="preserve">I carburanti contenenti 10% di metilestere o B10, sono adatti all'uso su questo motore, purchè rispondenti alle specifiche riportate nella </w:t>
      </w:r>
      <w:r>
        <w:rPr>
          <w:b/>
          <w:bCs/>
          <w:color w:val="00274C"/>
          <w:sz w:val="20"/>
          <w:szCs w:val="20"/>
          <w:u w:val="none"/>
        </w:rPr>
        <w:t xml:space="preserve">Tab. 2.3</w:t>
      </w:r>
      <w:r>
        <w:rPr>
          <w:color w:val="00274C"/>
          <w:sz w:val="20"/>
          <w:szCs w:val="20"/>
          <w:u w:val="none"/>
        </w:rPr>
        <w:t xml:space="preserve"> .</w:t>
      </w:r>
    </w:p>
    <w:p>
      <w:pPr>
        <w:numPr>
          <w:ilvl w:val="0"/>
          <w:numId w:val="2719"/>
        </w:numPr>
        <w:spacing w:before="0" w:after="0" w:line="240" w:lineRule="auto"/>
        <w:jc w:val="left"/>
        <w:rPr>
          <w:color w:val="00274C"/>
          <w:sz w:val="20"/>
          <w:szCs w:val="20"/>
        </w:rPr>
      </w:pPr>
      <w:r>
        <w:rPr>
          <w:b/>
          <w:bCs/>
          <w:color w:val="00274C"/>
          <w:sz w:val="20"/>
          <w:szCs w:val="20"/>
          <w:u w:val="none"/>
        </w:rPr>
        <w:t xml:space="preserve">NON USARE</w:t>
      </w:r>
      <w:r>
        <w:rPr>
          <w:color w:val="00274C"/>
          <w:sz w:val="20"/>
          <w:szCs w:val="20"/>
          <w:u w:val="none"/>
        </w:rPr>
        <w:t xml:space="preserve"> oli vegetali come biocarburante per questo motore.</w:t>
      </w:r>
    </w:p>
    <w:p>
      <w:pPr>
        <w:widowControl w:val="on"/>
        <w:pBdr/>
        <w:spacing w:before="0" w:after="0" w:line="262" w:lineRule="auto"/>
        <w:ind w:left="0" w:right="0"/>
        <w:jc w:val="right"/>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COMPATIBILITÀ BIODIESEL</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conforme alla norma EN 14214 (ammesso solo per miscele con carburante diesel al max. 10%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GradoBiodiesel US conforme alla norma ASTM D6751 – 09a (B100) (ammesso solo per miscele con carburante diesel al 10% (V/V)) 1-D S15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2.5.3</w:t>
      </w:r>
      <w:r>
        <w:rPr>
          <w:b/>
          <w:bCs/>
          <w:color w:val="00274C"/>
          <w:sz w:val="20"/>
          <w:szCs w:val="20"/>
          <w:u w:val="none"/>
        </w:rPr>
        <w:t xml:space="preserve"> Carburanti sintetici: GTL, CTL, BTL, HV</w:t>
      </w:r>
      <w:r>
        <w:rPr>
          <w:color w:val="00274C"/>
          <w:sz w:val="20"/>
          <w:szCs w:val="20"/>
          <w:u w:val="none"/>
        </w:rPr>
        <w:br/>
        <w:t xml:space="preserve"> È risaputo che i motori alimentati per periodi prolungati con carburanti diesel convenzionali e poi convertiti ai carburanti sintetici vanno incontro al restringimento delle guarnizioni polimeriche nell’impianto di iniezione e, quindi, a perdite di carburante. Il motivo di questo comportamento sta nel fatto che i carburanti sintetici inodori possono portare al cambio di comportamento in termini di tenuta delle guarnizioni polimeriche.</w:t>
      </w:r>
      <w:r>
        <w:rPr>
          <w:color w:val="00274C"/>
          <w:sz w:val="20"/>
          <w:szCs w:val="20"/>
          <w:u w:val="none"/>
        </w:rPr>
        <w:br/>
        <w:t xml:space="preserve">Pertanto, il passaggio dal carburante diesel a quello sintetico può essere fatto solo dopo aver sostituito le guarnizioni principali. Il problema del restringimento non si verifica se il motore viene alimentato con carburante sintetico fin dall’inizio. </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2.5.4</w:t>
      </w:r>
      <w:r>
        <w:rPr>
          <w:b/>
          <w:bCs/>
          <w:color w:val="00274C"/>
          <w:sz w:val="20"/>
          <w:szCs w:val="20"/>
          <w:u w:val="none"/>
        </w:rPr>
        <w:t xml:space="preserve"> Carburanti non stradali</w:t>
      </w:r>
    </w:p>
    <w:p>
      <w:pPr>
        <w:widowControl w:val="on"/>
        <w:pBdr/>
        <w:spacing w:before="0" w:after="0" w:line="262" w:lineRule="auto"/>
        <w:ind w:left="0" w:right="0"/>
        <w:jc w:val="left"/>
      </w:pPr>
      <w:r>
        <w:rPr>
          <w:color w:val="00274C"/>
          <w:sz w:val="20"/>
          <w:szCs w:val="20"/>
          <w:u w:val="none"/>
        </w:rPr>
        <w:t xml:space="preserve">È possibile usare altri carburanti non stradali purché conformi a tutti i valori limite previsti dalla norma EN 590, ad eccezione della densità del carburante, del numero di cetano e del contenuto di zolfo.</w:t>
      </w:r>
      <w:r>
        <w:rPr>
          <w:color w:val="00274C"/>
          <w:sz w:val="20"/>
          <w:szCs w:val="20"/>
          <w:u w:val="none"/>
        </w:rPr>
        <w:br/>
        <w:t xml:space="preserve">A questi parametri si applicano i seguenti limiti:</w:t>
      </w:r>
    </w:p>
    <w:p>
      <w:pPr>
        <w:widowControl w:val="on"/>
        <w:pBdr/>
        <w:spacing w:before="0" w:after="0" w:line="262" w:lineRule="auto"/>
        <w:ind w:left="0" w:right="0"/>
        <w:jc w:val="right"/>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PARAMETRO CARBURANTE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VALORE LIMITE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Numero di cetano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Densità del carburante a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Contenuto di zolfo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 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2.5.5</w:t>
      </w:r>
      <w:r>
        <w:rPr>
          <w:b/>
          <w:bCs/>
          <w:color w:val="00274C"/>
          <w:sz w:val="20"/>
          <w:szCs w:val="20"/>
          <w:u w:val="none"/>
        </w:rPr>
        <w:t xml:space="preserve"> Carburanti per aviogetti</w:t>
      </w:r>
      <w:r>
        <w:rPr>
          <w:color w:val="00274C"/>
          <w:sz w:val="20"/>
          <w:szCs w:val="20"/>
          <w:u w:val="none"/>
        </w:rPr>
        <w:br/>
        <w:t xml:space="preserve"> </w:t>
      </w:r>
      <w:r>
        <w:rPr>
          <w:i/>
          <w:iCs/>
          <w:color w:val="00274C"/>
          <w:sz w:val="20"/>
          <w:szCs w:val="20"/>
          <w:u w:val="none"/>
        </w:rPr>
        <w:t xml:space="preserve">Solo per motori non certificati KDI a iniezione meccanica (motori senza EGR).</w:t>
      </w:r>
      <w:r>
        <w:rPr>
          <w:color w:val="00274C"/>
          <w:sz w:val="20"/>
          <w:szCs w:val="20"/>
          <w:u w:val="none"/>
        </w:rPr>
        <w:br/>
        <w:t xml:space="preserve">Possono essere usati i seguenti carburanti per aviogetti, ma solo usando un ulteriore filtro del carburante con dosatore per lubrificazione:</w:t>
      </w:r>
    </w:p>
    <w:p>
      <w:pPr>
        <w:widowControl w:val="on"/>
        <w:pBdr/>
        <w:spacing w:before="0" w:after="0" w:line="262" w:lineRule="auto"/>
        <w:ind w:left="0" w:right="0"/>
        <w:jc w:val="right"/>
      </w:pPr>
      <w:r>
        <w:rPr>
          <w:b/>
          <w:bCs/>
          <w:color w:val="00274C"/>
          <w:sz w:val="20"/>
          <w:szCs w:val="20"/>
          <w:u w:val="none"/>
        </w:rPr>
        <w:t xml:space="preserve">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CARBURANTE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F-34/F-35 (cherosene, denominazione 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JP-8 (cherosene, designazione militare US)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F-44 (cherosene, denominazione 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JP-5 (cherosene, denominazione militare US)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F-63 (cherosene, denominazione NATO, equivalente a F-34/F-35 con additivi)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 (cherosene per aviazione civile)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F-65 (cherosene, denominazione NATO, miscela 1:1 di F-54 e F-34/F-35)</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A1 (cherosene per aviazione civile)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2.5.6 Istruzioni per l’installazione in relazione alle emissioni</w:t>
      </w:r>
      <w:r>
        <w:rPr>
          <w:color w:val="00274C"/>
          <w:sz w:val="20"/>
          <w:szCs w:val="20"/>
          <w:u w:val="none"/>
        </w:rPr>
        <w:t xml:space="preserve"> La mancata osservanza delle istruzioni per l’installazione di un motore certificato in un apparecchio non stradale viola il diritto federale (40 CFR 1068.105(b)), ed è soggetto a multe o altre sanzioni come descritto nel Clean Air Act.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Il produttore OEM deve applicare un’etichetta separata con la seguente dicitura: “ULTRA LOW SULFUR FUEL ONLY” (SOLO CARBURANTE A CONTENUTO DI ZOLFO ULTRA BASSO) vicino al tappo per il rifornimento del carburante.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Assicurarsi che sia installato un motore adeguatamente certificato per la vostra applicazione. I motori a velocità costante devono essere installati solo su apparecchiature per il funzionamento a velocità costante.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Se si installa il motore in modo da rendere l’etichetta sule informazioni di controllo delle emissioni difficile da leggere durante la normale manutenzione, è necessario applicare un duplicato dell’etichetta del motore sulla macchina, come descritto in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19"/>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2719"/>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14202519" name="name309462beea956841d"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85062beea956841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2719"/>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2719"/>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p>
      <w:pPr>
        <w:widowControl w:val="on"/>
        <w:pBdr/>
        <w:spacing w:before="0" w:after="0" w:line="262" w:lineRule="auto"/>
        <w:ind w:left="0" w:right="0"/>
        <w:jc w:val="left"/>
      </w:pPr>
      <w:r>
        <w:rPr>
          <w:b/>
          <w:bCs/>
          <w:color w:val="00274C"/>
          <w:sz w:val="20"/>
          <w:szCs w:val="20"/>
          <w:u w:val="none"/>
        </w:rPr>
        <w:t xml:space="preserve">Batteria non di fornitura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720">
    <w:multiLevelType w:val="hybridMultilevel"/>
    <w:lvl w:ilvl="0" w:tplc="80833712">
      <w:start w:val="1"/>
      <w:numFmt w:val="decimal"/>
      <w:lvlText w:val="%1."/>
      <w:lvlJc w:val="left"/>
      <w:pPr>
        <w:ind w:left="720" w:hanging="360"/>
      </w:pPr>
    </w:lvl>
    <w:lvl w:ilvl="1" w:tplc="80833712" w:tentative="1">
      <w:start w:val="1"/>
      <w:numFmt w:val="lowerLetter"/>
      <w:lvlText w:val="%2."/>
      <w:lvlJc w:val="left"/>
      <w:pPr>
        <w:ind w:left="1440" w:hanging="360"/>
      </w:pPr>
    </w:lvl>
    <w:lvl w:ilvl="2" w:tplc="80833712" w:tentative="1">
      <w:start w:val="1"/>
      <w:numFmt w:val="lowerRoman"/>
      <w:lvlText w:val="%3."/>
      <w:lvlJc w:val="right"/>
      <w:pPr>
        <w:ind w:left="2160" w:hanging="180"/>
      </w:pPr>
    </w:lvl>
    <w:lvl w:ilvl="3" w:tplc="80833712" w:tentative="1">
      <w:start w:val="1"/>
      <w:numFmt w:val="decimal"/>
      <w:lvlText w:val="%4."/>
      <w:lvlJc w:val="left"/>
      <w:pPr>
        <w:ind w:left="2880" w:hanging="360"/>
      </w:pPr>
    </w:lvl>
    <w:lvl w:ilvl="4" w:tplc="80833712" w:tentative="1">
      <w:start w:val="1"/>
      <w:numFmt w:val="lowerLetter"/>
      <w:lvlText w:val="%5."/>
      <w:lvlJc w:val="left"/>
      <w:pPr>
        <w:ind w:left="3600" w:hanging="360"/>
      </w:pPr>
    </w:lvl>
    <w:lvl w:ilvl="5" w:tplc="80833712" w:tentative="1">
      <w:start w:val="1"/>
      <w:numFmt w:val="lowerRoman"/>
      <w:lvlText w:val="%6."/>
      <w:lvlJc w:val="right"/>
      <w:pPr>
        <w:ind w:left="4320" w:hanging="180"/>
      </w:pPr>
    </w:lvl>
    <w:lvl w:ilvl="6" w:tplc="80833712" w:tentative="1">
      <w:start w:val="1"/>
      <w:numFmt w:val="decimal"/>
      <w:lvlText w:val="%7."/>
      <w:lvlJc w:val="left"/>
      <w:pPr>
        <w:ind w:left="5040" w:hanging="360"/>
      </w:pPr>
    </w:lvl>
    <w:lvl w:ilvl="7" w:tplc="80833712" w:tentative="1">
      <w:start w:val="1"/>
      <w:numFmt w:val="lowerLetter"/>
      <w:lvlText w:val="%8."/>
      <w:lvlJc w:val="left"/>
      <w:pPr>
        <w:ind w:left="5760" w:hanging="360"/>
      </w:pPr>
    </w:lvl>
    <w:lvl w:ilvl="8" w:tplc="80833712" w:tentative="1">
      <w:start w:val="1"/>
      <w:numFmt w:val="lowerRoman"/>
      <w:lvlText w:val="%9."/>
      <w:lvlJc w:val="right"/>
      <w:pPr>
        <w:ind w:left="6480" w:hanging="180"/>
      </w:pPr>
    </w:lvl>
  </w:abstractNum>
  <w:abstractNum w:abstractNumId="2719">
    <w:multiLevelType w:val="hybridMultilevel"/>
    <w:lvl w:ilvl="0" w:tplc="798049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719">
    <w:abstractNumId w:val="2719"/>
  </w:num>
  <w:num w:numId="2720">
    <w:abstractNumId w:val="27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61202070" Type="http://schemas.openxmlformats.org/officeDocument/2006/relationships/comments" Target="comments.xml"/><Relationship Id="rId145155199" Type="http://schemas.microsoft.com/office/2011/relationships/commentsExtended" Target="commentsExtended.xml"/><Relationship Id="rId35140001" Type="http://schemas.openxmlformats.org/officeDocument/2006/relationships/image" Target="media/imgrId35140001.jpg"/><Relationship Id="rId708362beea953f071" Type="http://schemas.openxmlformats.org/officeDocument/2006/relationships/hyperlink" Target="https://iservice.lombardini.it/jsp/Template2/manuale.jsp?id=203&amp;parent=1000" TargetMode="External"/><Relationship Id="rId320562beea950cb89" Type="http://schemas.openxmlformats.org/officeDocument/2006/relationships/image" Target="media/imgrId320562beea950cb89.jpg"/><Relationship Id="rId367362beea9518fca" Type="http://schemas.openxmlformats.org/officeDocument/2006/relationships/image" Target="media/imgrId367362beea9518fca.jpg"/><Relationship Id="rId396262beea952a8e6" Type="http://schemas.openxmlformats.org/officeDocument/2006/relationships/image" Target="media/imgrId396262beea952a8e6.jpg"/><Relationship Id="rId321862beea9534999" Type="http://schemas.openxmlformats.org/officeDocument/2006/relationships/image" Target="media/imgrId321862beea9534999.jpg"/><Relationship Id="rId862462beea953d63b" Type="http://schemas.openxmlformats.org/officeDocument/2006/relationships/image" Target="media/imgrId862462beea953d63b.jpg"/><Relationship Id="rId608362beea954934e" Type="http://schemas.openxmlformats.org/officeDocument/2006/relationships/image" Target="media/imgrId608362beea954934e.jpg"/><Relationship Id="rId867062beea9553658" Type="http://schemas.openxmlformats.org/officeDocument/2006/relationships/image" Target="media/imgrId867062beea9553658.jpg"/><Relationship Id="rId785062beea9568417" Type="http://schemas.openxmlformats.org/officeDocument/2006/relationships/image" Target="media/imgrId785062beea9568417.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5140001" Type="http://schemas.openxmlformats.org/officeDocument/2006/relationships/image" Target="media/imgrId3514000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5140001" Type="http://schemas.openxmlformats.org/officeDocument/2006/relationships/image" Target="media/imgrId3514000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5140001" Type="http://schemas.openxmlformats.org/officeDocument/2006/relationships/image" Target="media/imgrId3514000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5140001" Type="http://schemas.openxmlformats.org/officeDocument/2006/relationships/image" Target="media/imgrId3514000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5140001" Type="http://schemas.openxmlformats.org/officeDocument/2006/relationships/image" Target="media/imgrId3514000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5140001" Type="http://schemas.openxmlformats.org/officeDocument/2006/relationships/image" Target="media/imgrId3514000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