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3404 TCR-SCR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360720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54110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589860" w:name="ctxt"/>
    <w:bookmarkEnd w:id="22589860"/>
    <w:p>
      <w:pPr>
        <w:widowControl w:val="on"/>
        <w:pBdr/>
        <w:spacing w:before="75" w:after="75" w:line="240" w:lineRule="auto"/>
        <w:ind w:left="75" w:right="75"/>
        <w:jc w:val="left"/>
      </w:pPr>
    </w:p>
    <w:p>
      <w:pPr>
        <w:pStyle w:val="Titolo1"/>
      </w:pPr>
      <w:r>
        <w:rPr/>
        <w:t xml:space="preserve">总则</w:t>
      </w:r>
    </w:p>
    <w:p>
      <w:pPr>
        <w:widowControl w:val="on"/>
        <w:pBdr/>
        <w:spacing w:before="0" w:after="0" w:line="240" w:lineRule="auto"/>
        <w:ind w:left="0" w:right="0"/>
        <w:jc w:val="left"/>
      </w:pPr>
    </w:p>
    <w:p>
      <w:pPr>
        <w:pStyle w:val="Titolo2"/>
      </w:pPr>
      <w:r>
        <w:rPr/>
        <w:t xml:space="preserve">实用信息</w:t>
      </w:r>
    </w:p>
    <w:p>
      <w:pPr>
        <w:numPr>
          <w:ilvl w:val="0"/>
          <w:numId w:val="28903"/>
        </w:numPr>
        <w:spacing w:before="0" w:after="0" w:line="240" w:lineRule="auto"/>
        <w:jc w:val="left"/>
        <w:rPr>
          <w:color w:val="00274C"/>
          <w:sz w:val="20"/>
          <w:szCs w:val="20"/>
        </w:rPr>
      </w:pPr>
      <w:r>
        <w:rPr>
          <w:color w:val="00274C"/>
          <w:sz w:val="20"/>
          <w:szCs w:val="20"/>
          <w:u w:val="none"/>
        </w:rPr>
        <w:t xml:space="preserve">本手册提供了有关发动机正确使用和维护的指导说明，因此必须确保本手册随时可用，以便日后需要时进行参考。</w:t>
      </w:r>
    </w:p>
    <w:p>
      <w:pPr>
        <w:numPr>
          <w:ilvl w:val="0"/>
          <w:numId w:val="28903"/>
        </w:numPr>
        <w:spacing w:before="0" w:after="0" w:line="240" w:lineRule="auto"/>
        <w:jc w:val="left"/>
        <w:rPr>
          <w:color w:val="00274C"/>
          <w:sz w:val="20"/>
          <w:szCs w:val="20"/>
        </w:rPr>
      </w:pPr>
      <w:r>
        <w:rPr>
          <w:color w:val="00274C"/>
          <w:sz w:val="20"/>
          <w:szCs w:val="20"/>
          <w:u w:val="none"/>
        </w:rPr>
        <w:t xml:space="preserve">本手册中的信息、描述和图片反映了发动机在销售时的当前技术状态（第 </w:t>
      </w:r>
      <w:hyperlink r:id="rId470862f21a2f0d2d6" w:history="1">
        <w:r>
          <w:rPr>
            <w:rStyle w:val="DefaultParagraphFontPHPDOCX"/>
            <w:b/>
            <w:bCs/>
            <w:color w:val="0000FF"/>
            <w:sz w:val="20"/>
            <w:szCs w:val="20"/>
            <w:u w:val="none"/>
          </w:rPr>
          <w:t xml:space="preserve">1.4</w:t>
        </w:r>
      </w:hyperlink>
      <w:r>
        <w:rPr>
          <w:color w:val="00274C"/>
          <w:sz w:val="20"/>
          <w:szCs w:val="20"/>
          <w:u w:val="none"/>
        </w:rPr>
        <w:t xml:space="preserve"> 部分和第 </w:t>
      </w:r>
      <w:hyperlink r:id="rId105862f21a2f0d43e" w:history="1">
        <w:r>
          <w:rPr>
            <w:rStyle w:val="DefaultParagraphFontPHPDOCX"/>
            <w:b/>
            <w:bCs/>
            <w:color w:val="0000FF"/>
            <w:sz w:val="20"/>
            <w:szCs w:val="20"/>
            <w:u w:val="none"/>
          </w:rPr>
          <w:t xml:space="preserve">1.5</w:t>
        </w:r>
      </w:hyperlink>
      <w:r>
        <w:rPr>
          <w:color w:val="00274C"/>
          <w:sz w:val="20"/>
          <w:szCs w:val="20"/>
          <w:u w:val="none"/>
        </w:rPr>
        <w:t xml:space="preserve"> 部分）。</w:t>
      </w:r>
    </w:p>
    <w:p>
      <w:pPr>
        <w:numPr>
          <w:ilvl w:val="0"/>
          <w:numId w:val="28903"/>
        </w:numPr>
        <w:spacing w:before="0" w:after="0" w:line="240" w:lineRule="auto"/>
        <w:jc w:val="left"/>
        <w:rPr>
          <w:color w:val="00274C"/>
          <w:sz w:val="20"/>
          <w:szCs w:val="20"/>
        </w:rPr>
      </w:pPr>
      <w:r>
        <w:rPr>
          <w:color w:val="00274C"/>
          <w:sz w:val="20"/>
          <w:szCs w:val="20"/>
          <w:u w:val="none"/>
        </w:rPr>
        <w:t xml:space="preserve">但发动机的研发是持续的。因此，若本手册中的信息如有更改，恕不另行通知.</w:t>
      </w:r>
    </w:p>
    <w:p>
      <w:pPr>
        <w:numPr>
          <w:ilvl w:val="0"/>
          <w:numId w:val="28903"/>
        </w:numPr>
        <w:spacing w:before="0" w:after="0" w:line="240" w:lineRule="auto"/>
        <w:jc w:val="left"/>
        <w:rPr>
          <w:color w:val="00274C"/>
          <w:sz w:val="20"/>
          <w:szCs w:val="20"/>
        </w:rPr>
      </w:pPr>
      <w:r>
        <w:rPr>
          <w:color w:val="00274C"/>
          <w:sz w:val="20"/>
          <w:szCs w:val="20"/>
          <w:u w:val="none"/>
        </w:rPr>
        <w:t xml:space="preserve">这些变更不要求科勒对此前已销售的产品的生产进行干预或认为本手册不正确。</w:t>
      </w:r>
    </w:p>
    <w:p>
      <w:pPr>
        <w:numPr>
          <w:ilvl w:val="0"/>
          <w:numId w:val="28903"/>
        </w:numPr>
        <w:spacing w:before="0" w:after="0" w:line="240" w:lineRule="auto"/>
        <w:jc w:val="left"/>
        <w:rPr>
          <w:color w:val="00274C"/>
          <w:sz w:val="20"/>
          <w:szCs w:val="20"/>
        </w:rPr>
      </w:pPr>
      <w:r>
        <w:rPr>
          <w:color w:val="00274C"/>
          <w:sz w:val="20"/>
          <w:szCs w:val="20"/>
          <w:u w:val="none"/>
        </w:rPr>
        <w:t xml:space="preserve">段落、表格和数字按章进行编号并紧跟下一段落、表格和/或图号。 例如：    第1.3段    -    第1章第3段。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表2.4    -    第2章表4。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图4.5    -    第4章图5。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注：段落可包含子段落。</w:t>
      </w:r>
    </w:p>
    <w:p>
      <w:pPr>
        <w:numPr>
          <w:ilvl w:val="0"/>
          <w:numId w:val="28903"/>
        </w:numPr>
        <w:spacing w:before="0" w:after="0" w:line="240" w:lineRule="auto"/>
        <w:jc w:val="left"/>
        <w:rPr>
          <w:color w:val="00274C"/>
          <w:sz w:val="20"/>
          <w:szCs w:val="20"/>
        </w:rPr>
      </w:pPr>
      <w:r>
        <w:rPr>
          <w:color w:val="00274C"/>
          <w:sz w:val="20"/>
          <w:szCs w:val="20"/>
          <w:u w:val="none"/>
        </w:rPr>
        <w:t xml:space="preserve">本手册中所有的技术术语、特定的组件和符号（表 </w:t>
      </w:r>
      <w:hyperlink r:id="rId808762f21a2f0e133" w:history="1">
        <w:r>
          <w:rPr>
            <w:rStyle w:val="DefaultParagraphFontPHPDOCX"/>
            <w:color w:val="0000FF"/>
            <w:sz w:val="20"/>
            <w:szCs w:val="20"/>
            <w:u w:val="single" w:color=""/>
          </w:rPr>
          <w:t xml:space="preserve">15.1</w:t>
        </w:r>
      </w:hyperlink>
      <w:r>
        <w:rPr>
          <w:color w:val="00274C"/>
          <w:sz w:val="20"/>
          <w:szCs w:val="20"/>
          <w:u w:val="none"/>
        </w:rPr>
        <w:t xml:space="preserve"> ）已在词汇表里列出并进行了描述，可查询（第 </w:t>
      </w:r>
      <w:hyperlink r:id="rId237262f21a2f0e261" w:history="1">
        <w:r>
          <w:rPr>
            <w:rStyle w:val="DefaultParagraphFontPHPDOCX"/>
            <w:color w:val="0000FF"/>
            <w:sz w:val="20"/>
            <w:szCs w:val="20"/>
            <w:u w:val="single" w:color=""/>
          </w:rPr>
          <w:t xml:space="preserve">15</w:t>
        </w:r>
      </w:hyperlink>
      <w:r>
        <w:rPr>
          <w:color w:val="00274C"/>
          <w:sz w:val="20"/>
          <w:szCs w:val="20"/>
          <w:u w:val="none"/>
        </w:rPr>
        <w:t xml:space="preserve"> ).</w:t>
      </w:r>
    </w:p>
    <w:p>
      <w:pPr>
        <w:numPr>
          <w:ilvl w:val="0"/>
          <w:numId w:val="28903"/>
        </w:numPr>
        <w:spacing w:before="0" w:after="0" w:line="240" w:lineRule="auto"/>
        <w:jc w:val="left"/>
        <w:rPr>
          <w:color w:val="00274C"/>
          <w:sz w:val="20"/>
          <w:szCs w:val="20"/>
        </w:rPr>
      </w:pPr>
      <w:r>
        <w:rPr>
          <w:color w:val="00274C"/>
          <w:sz w:val="20"/>
          <w:szCs w:val="20"/>
          <w:u w:val="none"/>
        </w:rPr>
        <w:t xml:space="preserve">文本和图片中所描述对象的参考说明用字母和数字来标明，除非有特别指出参考其他图片或段落，这些字母和数字总是并且只会出现在您正在阅读的段落。</w:t>
      </w:r>
    </w:p>
    <w:p>
      <w:pPr>
        <w:numPr>
          <w:ilvl w:val="0"/>
          <w:numId w:val="28903"/>
        </w:numPr>
        <w:spacing w:before="0" w:after="0" w:line="240" w:lineRule="auto"/>
        <w:jc w:val="left"/>
        <w:rPr>
          <w:color w:val="00274C"/>
          <w:sz w:val="20"/>
          <w:szCs w:val="20"/>
        </w:rPr>
      </w:pPr>
      <w:r>
        <w:rPr>
          <w:color w:val="00274C"/>
          <w:sz w:val="20"/>
          <w:szCs w:val="20"/>
          <w:u w:val="none"/>
        </w:rPr>
        <w:t xml:space="preserve">价值的参考说明用字母或数字标明（采用红色和下划线）。</w:t>
      </w:r>
    </w:p>
    <w:p>
      <w:pPr>
        <w:numPr>
          <w:ilvl w:val="0"/>
          <w:numId w:val="28903"/>
        </w:numPr>
        <w:spacing w:before="0" w:after="0" w:line="240" w:lineRule="auto"/>
        <w:jc w:val="left"/>
        <w:rPr>
          <w:color w:val="00274C"/>
          <w:sz w:val="20"/>
          <w:szCs w:val="20"/>
        </w:rPr>
      </w:pPr>
      <w:r>
        <w:rPr>
          <w:color w:val="00274C"/>
          <w:sz w:val="20"/>
          <w:szCs w:val="20"/>
          <w:u w:val="none"/>
        </w:rPr>
        <w:t xml:space="preserve">其他重要的参考说明用红色强调</w:t>
      </w:r>
    </w:p>
    <w:p>
      <w:pPr>
        <w:numPr>
          <w:ilvl w:val="0"/>
          <w:numId w:val="28903"/>
        </w:numPr>
        <w:spacing w:before="0" w:after="0" w:line="240" w:lineRule="auto"/>
        <w:jc w:val="left"/>
        <w:rPr>
          <w:color w:val="00274C"/>
          <w:sz w:val="20"/>
          <w:szCs w:val="20"/>
        </w:rPr>
      </w:pPr>
      <w:r>
        <w:rPr>
          <w:color w:val="00274C"/>
          <w:sz w:val="20"/>
          <w:szCs w:val="20"/>
          <w:u w:val="none"/>
        </w:rPr>
        <w:t xml:space="preserve">- 段落标题后的标记 ( </w:t>
      </w:r>
      <w:r>
        <w:drawing>
          <wp:inline distT="0" distB="0" distL="0" distR="0">
            <wp:extent cx="158400" cy="115200"/>
            <wp:effectExtent b="0" l="0" r="0" t="0"/>
            <wp:docPr id="49022129" name="name519462f21a2f1d07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34262f21a2f1d05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 表示发动机拆卸时不需要该程序，该程序的设置只是为了对组件拆卸进行说明。</w:t>
      </w:r>
    </w:p>
    <w:p>
      <w:pPr>
        <w:numPr>
          <w:ilvl w:val="0"/>
          <w:numId w:val="28903"/>
        </w:numPr>
        <w:spacing w:before="0" w:after="0" w:line="240" w:lineRule="auto"/>
        <w:jc w:val="left"/>
        <w:rPr>
          <w:color w:val="00274C"/>
          <w:sz w:val="20"/>
          <w:szCs w:val="20"/>
        </w:rPr>
      </w:pPr>
      <w:r>
        <w:rPr>
          <w:color w:val="00274C"/>
          <w:sz w:val="20"/>
          <w:szCs w:val="20"/>
          <w:u w:val="none"/>
        </w:rPr>
        <w:t xml:space="preserve">科勒认为有必要在后一阶段提供的任何其他部分都必须与本手册一起保存并被视为本手册不可或缺的一部分。</w:t>
      </w:r>
    </w:p>
    <w:p>
      <w:pPr>
        <w:numPr>
          <w:ilvl w:val="0"/>
          <w:numId w:val="28903"/>
        </w:numPr>
        <w:spacing w:before="0" w:after="0" w:line="240" w:lineRule="auto"/>
        <w:jc w:val="left"/>
        <w:rPr>
          <w:color w:val="00274C"/>
          <w:sz w:val="20"/>
          <w:szCs w:val="20"/>
        </w:rPr>
      </w:pPr>
      <w:r>
        <w:rPr>
          <w:color w:val="00274C"/>
          <w:sz w:val="20"/>
          <w:szCs w:val="20"/>
          <w:u w:val="none"/>
        </w:rPr>
        <w:t xml:space="preserve">本手册所包含的信息为科勒独家所有，因此没有科勒的明确许可，不得对手册的任何部分或全部进行复制或重新制作。</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实用信息 — 事故预防 — 对环境的影响</w:t>
      </w:r>
    </w:p>
    <w:p>
      <w:pPr>
        <w:widowControl w:val="on"/>
        <w:pBdr/>
        <w:spacing w:before="0" w:after="0" w:line="262" w:lineRule="auto"/>
        <w:ind w:left="0" w:right="0"/>
        <w:jc w:val="left"/>
      </w:pPr>
      <w:r>
        <w:rPr>
          <w:b/>
          <w:bCs/>
          <w:color w:val="00274C"/>
          <w:sz w:val="20"/>
          <w:szCs w:val="20"/>
          <w:u w:val="none"/>
        </w:rPr>
        <w:t xml:space="preserve"> </w:t>
      </w:r>
    </w:p>
    <w:p>
      <w:pPr>
        <w:numPr>
          <w:ilvl w:val="0"/>
          <w:numId w:val="28903"/>
        </w:numPr>
        <w:spacing w:before="0" w:after="0" w:line="240" w:lineRule="auto"/>
        <w:jc w:val="left"/>
        <w:rPr>
          <w:color w:val="00274C"/>
          <w:sz w:val="20"/>
          <w:szCs w:val="20"/>
        </w:rPr>
      </w:pPr>
      <w:r>
        <w:rPr>
          <w:color w:val="00274C"/>
          <w:sz w:val="20"/>
          <w:szCs w:val="20"/>
          <w:u w:val="none"/>
        </w:rPr>
        <w:t xml:space="preserve">在维修发动机前，应先阅读整个章节 </w:t>
      </w:r>
      <w:hyperlink r:id="rId480262f21a2f1dce6" w:history="1">
        <w:r>
          <w:rPr>
            <w:rStyle w:val="DefaultParagraphFontPHPDOCX"/>
            <w:b/>
            <w:bCs/>
            <w:color w:val="0000FF"/>
            <w:sz w:val="20"/>
            <w:szCs w:val="20"/>
            <w:u w:val="none"/>
          </w:rPr>
          <w:t xml:space="preserve">3</w:t>
        </w:r>
      </w:hyperlink>
      <w:r>
        <w:rPr>
          <w:color w:val="00274C"/>
          <w:sz w:val="20"/>
          <w:szCs w:val="20"/>
          <w:u w:val="none"/>
        </w:rPr>
        <w:t xml:space="preserve"> , 它包含了应遵循的安全与环境程序有关的重要信息。</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制造商和发动机识别</w:t>
      </w:r>
    </w:p>
    <w:p>
      <w:pPr>
        <w:widowControl w:val="on"/>
        <w:pBdr/>
        <w:spacing w:before="0" w:after="0" w:line="262" w:lineRule="auto"/>
        <w:ind w:left="0" w:right="0"/>
        <w:jc w:val="left"/>
      </w:pPr>
      <w:r>
        <w:rPr>
          <w:color w:val="00274C"/>
          <w:sz w:val="20"/>
          <w:szCs w:val="20"/>
          <w:u w:val="none"/>
        </w:rPr>
        <w:t xml:space="preserve">发动机铭牌标识置于曲轴箱的下部，从进气与排气侧都可以看到。</w:t>
      </w:r>
    </w:p>
    <w:p>
      <w:pPr>
        <w:widowControl w:val="on"/>
        <w:pBdr/>
        <w:spacing w:before="225" w:after="225" w:line="262" w:lineRule="auto"/>
        <w:ind w:left="0" w:right="0"/>
        <w:jc w:val="left"/>
      </w:pPr>
      <w:r>
        <w:drawing>
          <wp:inline distT="0" distB="0" distL="0" distR="0">
            <wp:extent cx="5544000" cy="3124800"/>
            <wp:effectExtent b="0" l="0" r="0" t="0"/>
            <wp:docPr id="74127935" name="name174862f21a2f857d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76162f21a2f857d0"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616000" cy="2109600"/>
            <wp:effectExtent b="0" l="0" r="0" t="0"/>
            <wp:docPr id="95934347" name="name783262f21a2f93c7e" descr="Identificazione_targhetta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ZH.jpg"/>
                    <pic:cNvPicPr/>
                  </pic:nvPicPr>
                  <pic:blipFill>
                    <a:blip r:embed="rId910462f21a2f93c76" cstate="print"/>
                    <a:stretch>
                      <a:fillRect/>
                    </a:stretch>
                  </pic:blipFill>
                  <pic:spPr>
                    <a:xfrm>
                      <a:off x="0" y="0"/>
                      <a:ext cx="5616000" cy="2109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EPA排放标签</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(填写示例)</w:t>
            </w:r>
            <w:r>
              <w:rPr>
                <w:color w:val="00274C"/>
                <w:position w:val="-2"/>
                <w:sz w:val="20"/>
                <w:szCs w:val="20"/>
                <w:u w:val="none"/>
              </w:rPr>
              <w:t xml:space="preserve"> </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55779323" name="name622162f21a2f9e8a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02262f21a2f9e8a2" cstate="print"/>
                          <a:stretch>
                            <a:fillRect/>
                          </a:stretch>
                        </pic:blipFill>
                        <pic:spPr>
                          <a:xfrm>
                            <a:off x="0" y="0"/>
                            <a:ext cx="5040000" cy="45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1.1  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符合规则的年限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功率等级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发动机排量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排放颗粒物限值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发动机系族号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排放控制系统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低硫份的柴油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喷油定时 (*BTDC)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喷油器开启压力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 (例如: 2013.一月)</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中国标准标签</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31171345" name="name504362f21a2faf91d"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99962f21a2faf914" cstate="print"/>
                          <a:stretch>
                            <a:fillRect/>
                          </a:stretch>
                        </pic:blipFill>
                        <pic:spPr>
                          <a:xfrm>
                            <a:off x="0" y="0"/>
                            <a:ext cx="5040000" cy="45648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1.2 </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中国排放认证编号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功率范围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排放等级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后处理系统</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韩国标准标签</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98763029" name="name276262f21a2fc1cb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89462f21a2fc1cad"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1.3  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生产日期和制造商代码</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韩国排放认证编号</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发动机主要内件的识别和操作说明（基本配置）</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5544000" cy="3600000"/>
            <wp:effectExtent b="0" l="0" r="0" t="0"/>
            <wp:docPr id="49155362" name="name493662f21a2fd306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25662f21a2fd305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为了对发动机有一个清楚的了解，下述章节为发动机的操作提供了参考说明。可通过某些主要内件来进行的操作，本段用插图进行了说明。</w:t>
            </w:r>
            <w:r>
              <w:rPr>
                <w:color w:val="00274C"/>
                <w:position w:val="-2"/>
                <w:sz w:val="20"/>
                <w:szCs w:val="20"/>
                <w:u w:val="none"/>
              </w:rPr>
              <w:br/>
              <w:br/>
              <w:t xml:space="preserve">若需要执行复杂的操作，请随时查阅本段。</w:t>
            </w:r>
            <w:r>
              <w:rPr>
                <w:color w:val="00274C"/>
                <w:position w:val="-2"/>
                <w:sz w:val="20"/>
                <w:szCs w:val="20"/>
                <w:u w:val="none"/>
              </w:rPr>
              <w:br/>
              <w:br/>
              <w:br/>
              <w:br/>
              <w:br/>
              <w:br/>
              <w:t xml:space="preserve">注：    建议在进行拆卸和组装时保持这个页面可见。</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参照.</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1408072" name="name866362f21a2fdb80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2062f21a2fdb80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曲轴皮带轮视图（图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4498939" name="name793162f21a2fe228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5462f21a2fe228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飞轮侧视图（第1个PTO）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2316016" name="name450462f21a2feb09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8462f21a2feb08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排气侧视图</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0140053" name="name116062f21a2ff04b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1862f21a2ff04b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进气侧视图</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1号汽缸/活塞</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2号汽缸/活塞</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3号汽缸/活塞</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4号汽缸/活塞</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曲轴皮带轮（图2）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齿轮正时系统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节温器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机油进油管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进气歧管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凸轮轴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齿轮（第3个PTO）（可选）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飞轮（图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齿轮（第4个PTO）（可选）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平衡轴</w:t>
                  </w:r>
                </w:p>
              </w:tc>
            </w:tr>
          </w:tbl>
          <w:p/>
        </w:tc>
      </w:tr>
    </w:tbl>
    <w:p>
      <w:pPr>
        <w:widowControl w:val="on"/>
        <w:pBdr/>
        <w:spacing w:before="225" w:after="225" w:line="262" w:lineRule="auto"/>
        <w:ind w:left="0" w:right="0"/>
        <w:jc w:val="left"/>
      </w:pPr>
      <w:r>
        <w:rPr>
          <w:b/>
          <w:bCs/>
          <w:color w:val="00274C"/>
          <w:sz w:val="20"/>
          <w:szCs w:val="20"/>
          <w:u w:val="none"/>
        </w:rPr>
        <w:t xml:space="preserve">飞轮侧视图</w:t>
      </w:r>
      <w:r>
        <w:drawing>
          <wp:inline distT="0" distB="0" distL="0" distR="0">
            <wp:extent cx="5544000" cy="3794400"/>
            <wp:effectExtent b="0" l="0" r="0" t="0"/>
            <wp:docPr id="44403098" name="name552162f21a300c940"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69862f21a300c938"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发动机（基本配置）外件的识别</w:t>
      </w:r>
    </w:p>
    <w:p>
      <w:pPr>
        <w:widowControl w:val="on"/>
        <w:pBdr/>
        <w:spacing w:before="225" w:after="225" w:line="262" w:lineRule="auto"/>
        <w:ind w:left="0" w:right="0"/>
        <w:jc w:val="left"/>
      </w:pPr>
      <w:r>
        <w:rPr>
          <w:b/>
          <w:bCs/>
          <w:color w:val="00274C"/>
          <w:sz w:val="20"/>
          <w:szCs w:val="20"/>
          <w:u w:val="none"/>
        </w:rPr>
        <w:t xml:space="preserve">正时系统侧视图 - 排气</w:t>
      </w:r>
      <w:r>
        <w:drawing>
          <wp:inline distT="0" distB="0" distL="0" distR="0">
            <wp:extent cx="5544000" cy="3600000"/>
            <wp:effectExtent b="0" l="0" r="0" t="0"/>
            <wp:docPr id="77219914" name="name192962f21a3028eb1"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711862f21a3028ea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r>
        <w:rPr>
          <w:b/>
          <w:bCs/>
          <w:color w:val="00274C"/>
          <w:sz w:val="20"/>
          <w:szCs w:val="20"/>
          <w:u w:val="none"/>
        </w:rPr>
        <w:br/>
        <w:t xml:space="preserve">飞轮侧视图  - 进气</w:t>
      </w:r>
      <w:r>
        <w:drawing>
          <wp:inline distT="0" distB="0" distL="0" distR="0">
            <wp:extent cx="5544000" cy="3787200"/>
            <wp:effectExtent b="0" l="0" r="0" t="0"/>
            <wp:docPr id="6199971" name="name247262f21a308049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22362f21a308048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本段对发动机基本配置中的所有外部元件进行了插图说明。</w:t>
            </w:r>
            <w:r>
              <w:rPr>
                <w:color w:val="00274C"/>
                <w:position w:val="-2"/>
                <w:sz w:val="20"/>
                <w:szCs w:val="20"/>
                <w:u w:val="none"/>
              </w:rPr>
              <w:br/>
              <w:br/>
              <w:t xml:space="preserve">若发动机组件与这些插图中的组件存在差异，请参考第 </w:t>
            </w:r>
            <w:hyperlink r:id="rId703362f21a3080c68" w:history="1">
              <w:r>
                <w:rPr>
                  <w:rStyle w:val="DefaultParagraphFontPHPDOCX"/>
                  <w:b/>
                  <w:bCs/>
                  <w:color w:val="0000FF"/>
                  <w:position w:val="-2"/>
                  <w:sz w:val="20"/>
                  <w:szCs w:val="20"/>
                  <w:u w:val="single" w:color=""/>
                </w:rPr>
                <w:t xml:space="preserve">11</w:t>
              </w:r>
            </w:hyperlink>
            <w:r>
              <w:rPr>
                <w:color w:val="00274C"/>
                <w:position w:val="-2"/>
                <w:sz w:val="20"/>
                <w:szCs w:val="20"/>
                <w:u w:val="none"/>
              </w:rPr>
              <w:t xml:space="preserve"> 章。</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注：     所描述的组件可能与插图中的组件有差异；插图仅作为举例。</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注油孔盖</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接线</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机油压力开关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起动电机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油汽分离器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泄油旋塞</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发动机铭牌标识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水泵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冷却液温度传感器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灵活的排气管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节温器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EGR冷却器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高压油泵</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机油冷却器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机油滤清器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机油标尺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燃油滤清器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废气再循环阀</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曲轴皮带轮（第2个PTO）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飞轮（图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进气歧管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排气制动阀</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飞轮壳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进气软管</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上部视图</w:t>
      </w:r>
      <w:r>
        <w:drawing>
          <wp:inline distT="0" distB="0" distL="0" distR="0">
            <wp:extent cx="5544000" cy="3787200"/>
            <wp:effectExtent b="0" l="0" r="0" t="0"/>
            <wp:docPr id="21190146" name="name705862f21a30974b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99562f21a30974b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组件SCR (冷却液回路)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服务侧视图 - 抽吸</w:t>
            </w:r>
            <w:r>
              <w:rPr>
                <w:color w:val="00274C"/>
                <w:position w:val="-2"/>
                <w:sz w:val="20"/>
                <w:szCs w:val="20"/>
                <w:u w:val="none"/>
              </w:rPr>
              <w:t xml:space="preserve"> </w:t>
            </w:r>
            <w:r>
              <w:rPr>
                <w:position w:val="-203"/>
              </w:rPr>
              <w:drawing>
                <wp:inline distT="0" distB="0" distL="0" distR="0">
                  <wp:extent cx="2880000" cy="2606400"/>
                  <wp:effectExtent b="0" l="0" r="0" t="0"/>
                  <wp:docPr id="11126158" name="name459262f21a30a6bd9"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454662f21a30a6bd5"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进气套筒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进气回流管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进气回流管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DEF柴油机尾气处理液加热回路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DEF柴油机尾气处理液罐液体冷却剂输送管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DEF柴油机尾气处理液喷射器液体冷却剂输送管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DEF柴油机尾气处理液罐冷却剂输送电子阀门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SCR系统液体冷却剂输送管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散热器冷却剂后套筒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SCR系统装置</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备注:</w:t>
            </w:r>
            <w:r>
              <w:rPr>
                <w:color w:val="00274C"/>
                <w:position w:val="0"/>
                <w:sz w:val="20"/>
                <w:szCs w:val="20"/>
                <w:u w:val="none"/>
              </w:rPr>
              <w:t xml:space="preserve"> 某些组件仅用于说明目的，可能会有所变化，并且可能不会由 </w:t>
            </w:r>
            <w:r>
              <w:rPr>
                <w:b/>
                <w:bCs/>
                <w:color w:val="00274C"/>
                <w:position w:val="0"/>
                <w:sz w:val="20"/>
                <w:szCs w:val="20"/>
                <w:u w:val="none"/>
              </w:rPr>
              <w:t xml:space="preserve">KOHLER提供。</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飞轮侧视图 - 排放</w:t>
            </w:r>
            <w:r>
              <w:rPr>
                <w:color w:val="00274C"/>
                <w:position w:val="-2"/>
                <w:sz w:val="20"/>
                <w:szCs w:val="20"/>
                <w:u w:val="none"/>
              </w:rPr>
              <w:t xml:space="preserve">   </w:t>
            </w:r>
            <w:r>
              <w:rPr>
                <w:position w:val="-208"/>
              </w:rPr>
              <w:drawing>
                <wp:inline distT="0" distB="0" distL="0" distR="0">
                  <wp:extent cx="2880000" cy="2664000"/>
                  <wp:effectExtent b="0" l="0" r="0" t="0"/>
                  <wp:docPr id="13664570" name="name748362f21a30b6728"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780762f21a30b6721"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SCR (DEF流体回路)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飞轮侧视图 - 排放</w:t>
            </w:r>
            <w:r>
              <w:rPr>
                <w:color w:val="00274C"/>
                <w:position w:val="-2"/>
                <w:sz w:val="20"/>
                <w:szCs w:val="20"/>
                <w:u w:val="none"/>
              </w:rPr>
              <w:t xml:space="preserve"> </w:t>
            </w:r>
            <w:r>
              <w:rPr>
                <w:position w:val="-286"/>
              </w:rPr>
              <w:drawing>
                <wp:inline distT="0" distB="0" distL="0" distR="0">
                  <wp:extent cx="5544000" cy="3636000"/>
                  <wp:effectExtent b="0" l="0" r="0" t="0"/>
                  <wp:docPr id="85892729" name="name704162f21a30c7342"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286062f21a30c733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飞轮侧视图 - 抽吸</w:t>
            </w:r>
            <w:r>
              <w:rPr>
                <w:color w:val="00274C"/>
                <w:position w:val="-2"/>
                <w:sz w:val="20"/>
                <w:szCs w:val="20"/>
                <w:u w:val="none"/>
              </w:rPr>
              <w:t xml:space="preserve"> </w:t>
            </w:r>
            <w:r>
              <w:rPr>
                <w:position w:val="-208"/>
              </w:rPr>
              <w:drawing>
                <wp:inline distT="0" distB="0" distL="0" distR="0">
                  <wp:extent cx="2880000" cy="2656800"/>
                  <wp:effectExtent b="0" l="0" r="0" t="0"/>
                  <wp:docPr id="52728526" name="name409162f21a30d4375"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618162f21a30d436e"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SCR系统装置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DEF柴油机尾气处理液进水管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DEF柴油机尾气处理液喷射器输送管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DEF柴油机尾气处理液罐回流管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1.12</w:t>
            </w:r>
          </w:p>
          <w:p/>
          <w:p/>
          <w:p>
            <w:pPr>
              <w:widowControl w:val="on"/>
              <w:pBdr/>
              <w:spacing w:before="0" w:after="0" w:line="262" w:lineRule="auto"/>
              <w:ind w:left="0" w:right="0"/>
              <w:jc w:val="left"/>
              <w:textAlignment w:val="top"/>
            </w:pPr>
            <w:r>
              <w:rPr>
                <w:b/>
                <w:bCs/>
                <w:color w:val="00274C"/>
                <w:position w:val="0"/>
                <w:sz w:val="20"/>
                <w:szCs w:val="20"/>
                <w:u w:val="none"/>
              </w:rPr>
              <w:t xml:space="preserve">备注：</w:t>
            </w:r>
            <w:r>
              <w:rPr>
                <w:color w:val="00274C"/>
                <w:position w:val="0"/>
                <w:sz w:val="20"/>
                <w:szCs w:val="20"/>
                <w:u w:val="none"/>
              </w:rPr>
              <w:t xml:space="preserve"> 某些组件仅用于说明目的，可能会有所变化，并且可能不会由 </w:t>
            </w:r>
            <w:r>
              <w:rPr>
                <w:b/>
                <w:bCs/>
                <w:color w:val="00274C"/>
                <w:position w:val="0"/>
                <w:sz w:val="20"/>
                <w:szCs w:val="20"/>
                <w:u w:val="none"/>
              </w:rPr>
              <w:t xml:space="preserve">KOHLER提供。</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组件SCR (进排气回路)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服务侧视图 - 抽吸</w:t>
            </w:r>
            <w:r>
              <w:rPr>
                <w:color w:val="00274C"/>
                <w:position w:val="-2"/>
                <w:sz w:val="20"/>
                <w:szCs w:val="20"/>
                <w:u w:val="none"/>
              </w:rPr>
              <w:t xml:space="preserve"> </w:t>
            </w:r>
            <w:r>
              <w:rPr>
                <w:position w:val="-232"/>
              </w:rPr>
              <w:drawing>
                <wp:inline distT="0" distB="0" distL="0" distR="0">
                  <wp:extent cx="2880000" cy="2959200"/>
                  <wp:effectExtent b="0" l="0" r="0" t="0"/>
                  <wp:docPr id="12648894" name="name543062f21a30e38eb"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919062f21a30e38e2"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空气滤清器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吸气套筒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中冷器空气输送管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中冷器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至吸气歧管的空气输送管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进气阀</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至 SCR 的烟气排放管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喷射器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备注</w:t>
            </w:r>
            <w:r>
              <w:rPr>
                <w:color w:val="00274C"/>
                <w:position w:val="0"/>
                <w:sz w:val="20"/>
                <w:szCs w:val="20"/>
                <w:u w:val="none"/>
              </w:rPr>
              <w:t xml:space="preserve"> :某些组件仅用于说明目的，可能会有所变化，并且可能不会由 </w:t>
            </w:r>
            <w:r>
              <w:rPr>
                <w:b/>
                <w:bCs/>
                <w:color w:val="00274C"/>
                <w:position w:val="0"/>
                <w:sz w:val="20"/>
                <w:szCs w:val="20"/>
                <w:u w:val="none"/>
              </w:rPr>
              <w:t xml:space="preserve">KOHLER提供。</w:t>
            </w:r>
            <w:r>
              <w:rPr>
                <w:color w:val="00274C"/>
                <w:position w:val="0"/>
                <w:sz w:val="20"/>
                <w:szCs w:val="20"/>
                <w:u w:val="none"/>
              </w:rPr>
              <w:t xml:space="preserve">  </w:t>
            </w:r>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服务侧视图 - 排放</w:t>
            </w:r>
            <w:r>
              <w:rPr>
                <w:color w:val="00274C"/>
                <w:position w:val="-2"/>
                <w:sz w:val="20"/>
                <w:szCs w:val="20"/>
                <w:u w:val="none"/>
              </w:rPr>
              <w:t xml:space="preserve">   </w:t>
            </w:r>
            <w:r>
              <w:rPr>
                <w:position w:val="-300"/>
              </w:rPr>
              <w:drawing>
                <wp:inline distT="0" distB="0" distL="0" distR="0">
                  <wp:extent cx="5544000" cy="3808800"/>
                  <wp:effectExtent b="0" l="0" r="0" t="0"/>
                  <wp:docPr id="20986405" name="name562562f21a3103c61"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774662f21a3103c58"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904">
    <w:multiLevelType w:val="hybridMultilevel"/>
    <w:lvl w:ilvl="0" w:tplc="75226394">
      <w:start w:val="1"/>
      <w:numFmt w:val="decimal"/>
      <w:lvlText w:val="%1."/>
      <w:lvlJc w:val="left"/>
      <w:pPr>
        <w:ind w:left="720" w:hanging="360"/>
      </w:pPr>
    </w:lvl>
    <w:lvl w:ilvl="1" w:tplc="75226394" w:tentative="1">
      <w:start w:val="1"/>
      <w:numFmt w:val="lowerLetter"/>
      <w:lvlText w:val="%2."/>
      <w:lvlJc w:val="left"/>
      <w:pPr>
        <w:ind w:left="1440" w:hanging="360"/>
      </w:pPr>
    </w:lvl>
    <w:lvl w:ilvl="2" w:tplc="75226394" w:tentative="1">
      <w:start w:val="1"/>
      <w:numFmt w:val="lowerRoman"/>
      <w:lvlText w:val="%3."/>
      <w:lvlJc w:val="right"/>
      <w:pPr>
        <w:ind w:left="2160" w:hanging="180"/>
      </w:pPr>
    </w:lvl>
    <w:lvl w:ilvl="3" w:tplc="75226394" w:tentative="1">
      <w:start w:val="1"/>
      <w:numFmt w:val="decimal"/>
      <w:lvlText w:val="%4."/>
      <w:lvlJc w:val="left"/>
      <w:pPr>
        <w:ind w:left="2880" w:hanging="360"/>
      </w:pPr>
    </w:lvl>
    <w:lvl w:ilvl="4" w:tplc="75226394" w:tentative="1">
      <w:start w:val="1"/>
      <w:numFmt w:val="lowerLetter"/>
      <w:lvlText w:val="%5."/>
      <w:lvlJc w:val="left"/>
      <w:pPr>
        <w:ind w:left="3600" w:hanging="360"/>
      </w:pPr>
    </w:lvl>
    <w:lvl w:ilvl="5" w:tplc="75226394" w:tentative="1">
      <w:start w:val="1"/>
      <w:numFmt w:val="lowerRoman"/>
      <w:lvlText w:val="%6."/>
      <w:lvlJc w:val="right"/>
      <w:pPr>
        <w:ind w:left="4320" w:hanging="180"/>
      </w:pPr>
    </w:lvl>
    <w:lvl w:ilvl="6" w:tplc="75226394" w:tentative="1">
      <w:start w:val="1"/>
      <w:numFmt w:val="decimal"/>
      <w:lvlText w:val="%7."/>
      <w:lvlJc w:val="left"/>
      <w:pPr>
        <w:ind w:left="5040" w:hanging="360"/>
      </w:pPr>
    </w:lvl>
    <w:lvl w:ilvl="7" w:tplc="75226394" w:tentative="1">
      <w:start w:val="1"/>
      <w:numFmt w:val="lowerLetter"/>
      <w:lvlText w:val="%8."/>
      <w:lvlJc w:val="left"/>
      <w:pPr>
        <w:ind w:left="5760" w:hanging="360"/>
      </w:pPr>
    </w:lvl>
    <w:lvl w:ilvl="8" w:tplc="75226394" w:tentative="1">
      <w:start w:val="1"/>
      <w:numFmt w:val="lowerRoman"/>
      <w:lvlText w:val="%9."/>
      <w:lvlJc w:val="right"/>
      <w:pPr>
        <w:ind w:left="6480" w:hanging="180"/>
      </w:pPr>
    </w:lvl>
  </w:abstractNum>
  <w:abstractNum w:abstractNumId="28903">
    <w:multiLevelType w:val="hybridMultilevel"/>
    <w:lvl w:ilvl="0" w:tplc="788878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903">
    <w:abstractNumId w:val="28903"/>
  </w:num>
  <w:num w:numId="28904">
    <w:abstractNumId w:val="289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7152704" Type="http://schemas.openxmlformats.org/officeDocument/2006/relationships/comments" Target="comments.xml"/><Relationship Id="rId533984129" Type="http://schemas.microsoft.com/office/2011/relationships/commentsExtended" Target="commentsExtended.xml"/><Relationship Id="rId22541101" Type="http://schemas.openxmlformats.org/officeDocument/2006/relationships/image" Target="media/imgrId22541101.jpg"/><Relationship Id="rId470862f21a2f0d2d6" Type="http://schemas.openxmlformats.org/officeDocument/2006/relationships/hyperlink" Target="https://iservice.lombardini.it/jsp/Template2/manuale.jsp?id=547&amp;parent=1273" TargetMode="External"/><Relationship Id="rId105862f21a2f0d43e" Type="http://schemas.openxmlformats.org/officeDocument/2006/relationships/hyperlink" Target="https://iservice.lombardini.it/jsp/Template2/manuale.jsp?id=548&amp;parent=1273" TargetMode="External"/><Relationship Id="rId808762f21a2f0e133" Type="http://schemas.openxmlformats.org/officeDocument/2006/relationships/hyperlink" Target="https://iservice.lombardini.it/jsp/Template2/manuale.jsp?id=193&amp;parent=1273" TargetMode="External"/><Relationship Id="rId237262f21a2f0e261" Type="http://schemas.openxmlformats.org/officeDocument/2006/relationships/hyperlink" Target="https://iservice.lombardini.it/jsp/Template2/manuale.jsp?id=193&amp;parent=1273" TargetMode="External"/><Relationship Id="rId480262f21a2f1dce6" Type="http://schemas.openxmlformats.org/officeDocument/2006/relationships/hyperlink" Target="https://iservice.lombardini.it/jsp/Template2/manuale.jsp?id=114&amp;parent=1273" TargetMode="External"/><Relationship Id="rId703362f21a3080c68" Type="http://schemas.openxmlformats.org/officeDocument/2006/relationships/hyperlink" Target="https://iservice.lombardini.it/jsp/Template2/manuale.jsp?id=624&amp;parent=1273" TargetMode="External"/><Relationship Id="rId534262f21a2f1d05d" Type="http://schemas.openxmlformats.org/officeDocument/2006/relationships/image" Target="media/imgrId534262f21a2f1d05d.gif"/><Relationship Id="rId176162f21a2f857d0" Type="http://schemas.openxmlformats.org/officeDocument/2006/relationships/image" Target="media/imgrId176162f21a2f857d0.png"/><Relationship Id="rId910462f21a2f93c76" Type="http://schemas.openxmlformats.org/officeDocument/2006/relationships/image" Target="media/imgrId910462f21a2f93c76.jpg"/><Relationship Id="rId302262f21a2f9e8a2" Type="http://schemas.openxmlformats.org/officeDocument/2006/relationships/image" Target="media/imgrId302262f21a2f9e8a2.jpg"/><Relationship Id="rId899962f21a2faf914" Type="http://schemas.openxmlformats.org/officeDocument/2006/relationships/image" Target="media/imgrId899962f21a2faf914.jpg"/><Relationship Id="rId889462f21a2fc1cad" Type="http://schemas.openxmlformats.org/officeDocument/2006/relationships/image" Target="media/imgrId889462f21a2fc1cad.jpg"/><Relationship Id="rId725662f21a2fd305b" Type="http://schemas.openxmlformats.org/officeDocument/2006/relationships/image" Target="media/imgrId725662f21a2fd305b.png"/><Relationship Id="rId942062f21a2fdb809" Type="http://schemas.openxmlformats.org/officeDocument/2006/relationships/image" Target="media/imgrId942062f21a2fdb809.gif"/><Relationship Id="rId295462f21a2fe2286" Type="http://schemas.openxmlformats.org/officeDocument/2006/relationships/image" Target="media/imgrId295462f21a2fe2286.gif"/><Relationship Id="rId978462f21a2feb08c" Type="http://schemas.openxmlformats.org/officeDocument/2006/relationships/image" Target="media/imgrId978462f21a2feb08c.gif"/><Relationship Id="rId821862f21a2ff04b6" Type="http://schemas.openxmlformats.org/officeDocument/2006/relationships/image" Target="media/imgrId821862f21a2ff04b6.gif"/><Relationship Id="rId469862f21a300c938" Type="http://schemas.openxmlformats.org/officeDocument/2006/relationships/image" Target="media/imgrId469862f21a300c938.png"/><Relationship Id="rId711862f21a3028ea9" Type="http://schemas.openxmlformats.org/officeDocument/2006/relationships/image" Target="media/imgrId711862f21a3028ea9.png"/><Relationship Id="rId522362f21a308048c" Type="http://schemas.openxmlformats.org/officeDocument/2006/relationships/image" Target="media/imgrId522362f21a308048c.png"/><Relationship Id="rId799562f21a30974b4" Type="http://schemas.openxmlformats.org/officeDocument/2006/relationships/image" Target="media/imgrId799562f21a30974b4.png"/><Relationship Id="rId454662f21a30a6bd5" Type="http://schemas.openxmlformats.org/officeDocument/2006/relationships/image" Target="media/imgrId454662f21a30a6bd5.jpg"/><Relationship Id="rId780762f21a30b6721" Type="http://schemas.openxmlformats.org/officeDocument/2006/relationships/image" Target="media/imgrId780762f21a30b6721.jpg"/><Relationship Id="rId286062f21a30c7337" Type="http://schemas.openxmlformats.org/officeDocument/2006/relationships/image" Target="media/imgrId286062f21a30c7337.jpg"/><Relationship Id="rId618162f21a30d436e" Type="http://schemas.openxmlformats.org/officeDocument/2006/relationships/image" Target="media/imgrId618162f21a30d436e.jpg"/><Relationship Id="rId919062f21a30e38e2" Type="http://schemas.openxmlformats.org/officeDocument/2006/relationships/image" Target="media/imgrId919062f21a30e38e2.jpg"/><Relationship Id="rId774662f21a3103c58" Type="http://schemas.openxmlformats.org/officeDocument/2006/relationships/image" Target="media/imgrId774662f21a3103c5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541101" Type="http://schemas.openxmlformats.org/officeDocument/2006/relationships/image" Target="media/imgrId225411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541101" Type="http://schemas.openxmlformats.org/officeDocument/2006/relationships/image" Target="media/imgrId225411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541101" Type="http://schemas.openxmlformats.org/officeDocument/2006/relationships/image" Target="media/imgrId225411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541101" Type="http://schemas.openxmlformats.org/officeDocument/2006/relationships/image" Target="media/imgrId225411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541101" Type="http://schemas.openxmlformats.org/officeDocument/2006/relationships/image" Target="media/imgrId225411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541101" Type="http://schemas.openxmlformats.org/officeDocument/2006/relationships/image" Target="media/imgrId225411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