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1398069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831531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7190434" w:name="ctxt"/>
    <w:bookmarkEnd w:id="27190434"/>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82076300" name="name27726363833a88cce"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83106363833a88cc9"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73600307" name="name30816363833a9b216"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2826363833a9b20f"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359285" name="name39716363833aa4df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2346363833aa4de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596"/>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4596"/>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4596"/>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4596"/>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4596"/>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4901342" name="name90056363833aafdbc"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5576363833aafdb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596"/>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4596"/>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4596"/>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50756363833ab14b1"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4596"/>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4596"/>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24596"/>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4596"/>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4596"/>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0161780" name="name13826363833ac106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8666363833ac105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9205344" name="name34926363833acb15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9426363833acb15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4596"/>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4596"/>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righ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 In caso di garanzia, il cliente deve dimostrare di aver utilizzato il carburante consentito mostrando un certificato rilasciato dal fornitore di carburante.</w:t>
            </w:r>
          </w:p>
          <w:p/>
          <w:p/>
          <w:p>
            <w:pPr>
              <w:widowControl w:val="on"/>
              <w:pBdr/>
              <w:spacing w:before="0" w:after="0" w:line="262" w:lineRule="auto"/>
              <w:ind w:left="0" w:right="0"/>
              <w:jc w:val="left"/>
              <w:textAlignment w:val="center"/>
            </w:pPr>
            <w:r>
              <w:rPr>
                <w:b/>
                <w:bCs/>
                <w:color w:val="00274C"/>
                <w:position w:val="-2"/>
                <w:sz w:val="20"/>
                <w:szCs w:val="20"/>
                <w:u w:val="none"/>
              </w:rPr>
              <w:t xml:space="preserve">Motori KDI a iniezione elettronica certificati Tier 4 final – Stage IIIB – Stage IV- Stage V</w:t>
            </w:r>
          </w:p>
          <w:p>
            <w:pPr>
              <w:widowControl w:val="on"/>
              <w:pBdr/>
              <w:spacing w:before="0" w:after="0" w:line="262" w:lineRule="auto"/>
              <w:ind w:left="0" w:right="0"/>
              <w:jc w:val="left"/>
              <w:textAlignment w:val="center"/>
            </w:pPr>
            <w:r>
              <w:rPr>
                <w:color w:val="00274C"/>
                <w:position w:val="-2"/>
                <w:sz w:val="20"/>
                <w:szCs w:val="20"/>
                <w:u w:val="none"/>
              </w:rPr>
              <w:t xml:space="preserve">Questi motori sono progettati per funzionare con carburanti conformi alle norme EN 590 e ASTM D975 per un numero di cetano non inferiore a 45. Poiché questi motori sono dotati di sistemi di post-trattamento dei gas di scarico quali catalizzatori di ossidazione diesel (DOC), filtri antiparticolato (DPF) e riduzione selettiva catalitica (SCR), questi possono essere usati solo con carburanti diesel senza zolfo (EN 590, DIN 5168, ASTM D975 Grado 2-D S15, ASTM D975 Grado 1-D S15). In caso contrario, la conformità con i requisiti sulle emissioni e la durata non saranno garantiti.</w:t>
            </w:r>
          </w:p>
          <w:p>
            <w:pPr>
              <w:widowControl w:val="on"/>
              <w:pBdr/>
              <w:spacing w:before="0" w:after="0" w:line="262" w:lineRule="auto"/>
              <w:ind w:left="0" w:right="0"/>
              <w:jc w:val="left"/>
              <w:textAlignment w:val="center"/>
            </w:pPr>
            <w:r>
              <w:rPr>
                <w:color w:val="00274C"/>
                <w:position w:val="-2"/>
                <w:sz w:val="20"/>
                <w:szCs w:val="20"/>
                <w:u w:val="none"/>
              </w:rPr>
              <w:t xml:space="preserve">Un’insufficiente capacità lubrificante può causare gravi problemi di usura, in particolare nei sistemi di iniezione Common Rail. Una capacità lubrificante troppo scarsa costituisce un problema soprattutto per i carburanti con un basso contenuto di zolfo (un contenuto di zolfo inferiore a 500 mg/kg può già essere considerato basso).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Un’adeguata capacità lubrificante è garantita dall’uso degli additivi adeguati nei carburanti diesel a basso contenuto di zolfo (min. 50 mg/kg) o senza zolfo (min. 10 mg/kg o min. 15 mg/kg), secondo le norme EN 590 e ASTM D 975. La capacità lubrificante dei carburanti diesel a basso contenuto di zolfo o senza zolfo che non rispettano tali norme deve essere garantita dall’uso di additivi. Il parametro indicatore di una capacità lubrificante sufficiente è dato da un'estensione dell'usura di 460 micrometri nel test HFRR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Carburante per basse temperature</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 Quando il motore viene usato a temperature ambiente inferiori a 0°C, usare carburanti idonei normalmente distribuiti dalle compagnie petrolifere e comunque corrispondenti alle specifiche di cui alla Tab. 2.3.</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Questi carburanti limitano la formazione di paraffina alle basse temperature. </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Quando nel carburante si forma la paraffina, il filtro del carburante si intasa interrompendone il flusso.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Carburante Biodiesel</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 carburanti contenenti 10% di metilestere o B10, sono adatti all’uso su questo motore, purchè rispondenti alle specifiche riportate nella Tab. 2.3.</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NON USARE oli vegetali come biocarburante per questo motore.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alla norma ASTM D6751 – 09a (B100) (ammesso solo per miscele con carburante diesel al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Carburanti sintetici: GTL, CTL, BTL, HV</w:t>
            </w:r>
          </w:p>
          <w:p>
            <w:pPr>
              <w:widowControl w:val="on"/>
              <w:pBdr/>
              <w:spacing w:before="0" w:after="0" w:line="262" w:lineRule="auto"/>
              <w:ind w:left="0" w:right="0"/>
              <w:jc w:val="left"/>
              <w:textAlignment w:val="center"/>
            </w:pPr>
            <w:r>
              <w:rPr>
                <w:color w:val="00274C"/>
                <w:position w:val="-2"/>
                <w:sz w:val="20"/>
                <w:szCs w:val="20"/>
                <w:u w:val="none"/>
              </w:rPr>
              <w:t xml:space="preserve">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p>
          <w:p>
            <w:pPr>
              <w:widowControl w:val="on"/>
              <w:pBdr/>
              <w:spacing w:before="0" w:after="0" w:line="262" w:lineRule="auto"/>
              <w:ind w:left="0" w:right="0"/>
              <w:jc w:val="left"/>
              <w:textAlignment w:val="center"/>
            </w:pPr>
            <w:r>
              <w:rPr>
                <w:color w:val="00274C"/>
                <w:position w:val="-2"/>
                <w:sz w:val="20"/>
                <w:szCs w:val="20"/>
                <w:u w:val="none"/>
              </w:rPr>
              <w:t xml:space="preserve">Pertanto, il passaggio dal carburante diesel a quello sintetico può essere fatto solo dopo aver sostituito le guarnizioni principali. Il problema del restringimento non si verifica se il motore viene alimentato con carburante sintetico fin dall’inizio.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Emissione - Relativo alle istruzioni di installazione</w:t>
            </w:r>
          </w:p>
          <w:p>
            <w:pPr>
              <w:widowControl w:val="on"/>
              <w:pBdr/>
              <w:spacing w:before="0" w:after="0" w:line="262" w:lineRule="auto"/>
              <w:ind w:left="0" w:right="0"/>
              <w:jc w:val="left"/>
              <w:textAlignment w:val="center"/>
            </w:pPr>
            <w:r>
              <w:rPr>
                <w:color w:val="00274C"/>
                <w:position w:val="-2"/>
                <w:sz w:val="20"/>
                <w:szCs w:val="20"/>
                <w:u w:val="none"/>
              </w:rPr>
              <w:t xml:space="preserve">La mancata osservanza delle istruzioni, per l'installazione di un motore certificato in un apparecchio non stradale viola il diritto federale (40 CFR 1068,105 (b)), ed è soggetto a multe o altre sanzioni, come descritto nel Clean Air Act.       </w:t>
            </w:r>
          </w:p>
          <w:p>
            <w:pPr>
              <w:widowControl w:val="on"/>
              <w:pBdr/>
              <w:spacing w:before="0" w:after="0" w:line="262" w:lineRule="auto"/>
              <w:ind w:left="0" w:right="0"/>
              <w:jc w:val="left"/>
              <w:textAlignment w:val="center"/>
            </w:pPr>
            <w:r>
              <w:rPr>
                <w:color w:val="00274C"/>
                <w:position w:val="-2"/>
                <w:sz w:val="20"/>
                <w:szCs w:val="20"/>
                <w:u w:val="none"/>
              </w:rPr>
              <w:t xml:space="preserve">Il costruttore dell’apparecchio deve applicare un'etichetta separata con la seguente dicitura: "ULTRA LOW SULFUR FUEL ONLY" (SOLO CARBURANTE A CONTENUTO DI ZOLFO ULTRA BASSO), vicino al tappo per il rifornimento del carburante.</w:t>
            </w:r>
          </w:p>
          <w:p>
            <w:pPr>
              <w:widowControl w:val="on"/>
              <w:pBdr/>
              <w:spacing w:before="0" w:after="0" w:line="262" w:lineRule="auto"/>
              <w:ind w:left="0" w:right="0"/>
              <w:jc w:val="left"/>
              <w:textAlignment w:val="center"/>
            </w:pPr>
            <w:r>
              <w:rPr>
                <w:color w:val="00274C"/>
                <w:position w:val="-2"/>
                <w:sz w:val="20"/>
                <w:szCs w:val="20"/>
                <w:u w:val="none"/>
              </w:rPr>
              <w:t xml:space="preserve">Assicurarsi che sia installato un motore adeguatamente certificato per la vostra applicazione. </w:t>
            </w:r>
          </w:p>
          <w:p>
            <w:pPr>
              <w:widowControl w:val="on"/>
              <w:pBdr/>
              <w:spacing w:before="0" w:after="0" w:line="262" w:lineRule="auto"/>
              <w:ind w:left="0" w:right="0"/>
              <w:jc w:val="left"/>
              <w:textAlignment w:val="center"/>
            </w:pPr>
            <w:r>
              <w:rPr>
                <w:color w:val="00274C"/>
                <w:position w:val="-2"/>
                <w:sz w:val="20"/>
                <w:szCs w:val="20"/>
                <w:u w:val="none"/>
              </w:rPr>
              <w:t xml:space="preserve">Motori a velocità costante devono essere installati solo su apparecchiature per il funzionamento a velocità costante.</w:t>
            </w:r>
          </w:p>
          <w:p>
            <w:pPr>
              <w:widowControl w:val="on"/>
              <w:pBdr/>
              <w:spacing w:before="0" w:after="0" w:line="262" w:lineRule="auto"/>
              <w:ind w:left="0" w:right="0"/>
              <w:jc w:val="left"/>
              <w:textAlignment w:val="center"/>
            </w:pPr>
            <w:r>
              <w:rPr>
                <w:color w:val="00274C"/>
                <w:position w:val="-2"/>
                <w:sz w:val="20"/>
                <w:szCs w:val="20"/>
                <w:u w:val="none"/>
              </w:rPr>
              <w:t xml:space="preserve">Se si installa il motore in modo da rendere l'etichetta sulle informazioni di controllo delle emissioni, difficile da leggere durante la normale manutenzione, è necessario applicare un duplicato dell'etichetta motore sulla macchina, come descritto in 40 CFR 1068,105.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4598"/>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4599"/>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24599"/>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24599"/>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24599"/>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24599"/>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1922809" name="name79606363833ad7c9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0676363833ad7c9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0489320" name="name33156363833aea63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2786363833aea63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4596"/>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4596"/>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4596"/>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4596"/>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4596"/>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99">
    <w:multiLevelType w:val="hybridMultilevel"/>
    <w:lvl w:ilvl="0" w:tplc="94601245">
      <w:start w:val="1"/>
      <w:numFmt w:val="decimal"/>
      <w:lvlText w:val="%1."/>
      <w:lvlJc w:val="left"/>
      <w:pPr>
        <w:ind w:left="720" w:hanging="360"/>
      </w:pPr>
    </w:lvl>
    <w:lvl w:ilvl="1" w:tplc="94601245" w:tentative="1">
      <w:start w:val="1"/>
      <w:numFmt w:val="lowerLetter"/>
      <w:lvlText w:val="%2."/>
      <w:lvlJc w:val="left"/>
      <w:pPr>
        <w:ind w:left="1440" w:hanging="360"/>
      </w:pPr>
    </w:lvl>
    <w:lvl w:ilvl="2" w:tplc="94601245" w:tentative="1">
      <w:start w:val="1"/>
      <w:numFmt w:val="lowerRoman"/>
      <w:lvlText w:val="%3."/>
      <w:lvlJc w:val="right"/>
      <w:pPr>
        <w:ind w:left="2160" w:hanging="180"/>
      </w:pPr>
    </w:lvl>
    <w:lvl w:ilvl="3" w:tplc="94601245" w:tentative="1">
      <w:start w:val="1"/>
      <w:numFmt w:val="decimal"/>
      <w:lvlText w:val="%4."/>
      <w:lvlJc w:val="left"/>
      <w:pPr>
        <w:ind w:left="2880" w:hanging="360"/>
      </w:pPr>
    </w:lvl>
    <w:lvl w:ilvl="4" w:tplc="94601245" w:tentative="1">
      <w:start w:val="1"/>
      <w:numFmt w:val="lowerLetter"/>
      <w:lvlText w:val="%5."/>
      <w:lvlJc w:val="left"/>
      <w:pPr>
        <w:ind w:left="3600" w:hanging="360"/>
      </w:pPr>
    </w:lvl>
    <w:lvl w:ilvl="5" w:tplc="94601245" w:tentative="1">
      <w:start w:val="1"/>
      <w:numFmt w:val="lowerRoman"/>
      <w:lvlText w:val="%6."/>
      <w:lvlJc w:val="right"/>
      <w:pPr>
        <w:ind w:left="4320" w:hanging="180"/>
      </w:pPr>
    </w:lvl>
    <w:lvl w:ilvl="6" w:tplc="94601245" w:tentative="1">
      <w:start w:val="1"/>
      <w:numFmt w:val="decimal"/>
      <w:lvlText w:val="%7."/>
      <w:lvlJc w:val="left"/>
      <w:pPr>
        <w:ind w:left="5040" w:hanging="360"/>
      </w:pPr>
    </w:lvl>
    <w:lvl w:ilvl="7" w:tplc="94601245" w:tentative="1">
      <w:start w:val="1"/>
      <w:numFmt w:val="lowerLetter"/>
      <w:lvlText w:val="%8."/>
      <w:lvlJc w:val="left"/>
      <w:pPr>
        <w:ind w:left="5760" w:hanging="360"/>
      </w:pPr>
    </w:lvl>
    <w:lvl w:ilvl="8" w:tplc="94601245" w:tentative="1">
      <w:start w:val="1"/>
      <w:numFmt w:val="lowerRoman"/>
      <w:lvlText w:val="%9."/>
      <w:lvlJc w:val="right"/>
      <w:pPr>
        <w:ind w:left="6480" w:hanging="180"/>
      </w:pPr>
    </w:lvl>
  </w:abstractNum>
  <w:abstractNum w:abstractNumId="24598">
    <w:multiLevelType w:val="hybridMultilevel"/>
    <w:lvl w:ilvl="0" w:tplc="27808755">
      <w:start w:val="1"/>
      <w:numFmt w:val="decimal"/>
      <w:lvlText w:val="%1."/>
      <w:lvlJc w:val="left"/>
      <w:pPr>
        <w:ind w:left="720" w:hanging="360"/>
      </w:pPr>
    </w:lvl>
    <w:lvl w:ilvl="1" w:tplc="27808755" w:tentative="1">
      <w:start w:val="1"/>
      <w:numFmt w:val="lowerLetter"/>
      <w:lvlText w:val="%2."/>
      <w:lvlJc w:val="left"/>
      <w:pPr>
        <w:ind w:left="1440" w:hanging="360"/>
      </w:pPr>
    </w:lvl>
    <w:lvl w:ilvl="2" w:tplc="27808755" w:tentative="1">
      <w:start w:val="1"/>
      <w:numFmt w:val="lowerRoman"/>
      <w:lvlText w:val="%3."/>
      <w:lvlJc w:val="right"/>
      <w:pPr>
        <w:ind w:left="2160" w:hanging="180"/>
      </w:pPr>
    </w:lvl>
    <w:lvl w:ilvl="3" w:tplc="27808755" w:tentative="1">
      <w:start w:val="1"/>
      <w:numFmt w:val="decimal"/>
      <w:lvlText w:val="%4."/>
      <w:lvlJc w:val="left"/>
      <w:pPr>
        <w:ind w:left="2880" w:hanging="360"/>
      </w:pPr>
    </w:lvl>
    <w:lvl w:ilvl="4" w:tplc="27808755" w:tentative="1">
      <w:start w:val="1"/>
      <w:numFmt w:val="lowerLetter"/>
      <w:lvlText w:val="%5."/>
      <w:lvlJc w:val="left"/>
      <w:pPr>
        <w:ind w:left="3600" w:hanging="360"/>
      </w:pPr>
    </w:lvl>
    <w:lvl w:ilvl="5" w:tplc="27808755" w:tentative="1">
      <w:start w:val="1"/>
      <w:numFmt w:val="lowerRoman"/>
      <w:lvlText w:val="%6."/>
      <w:lvlJc w:val="right"/>
      <w:pPr>
        <w:ind w:left="4320" w:hanging="180"/>
      </w:pPr>
    </w:lvl>
    <w:lvl w:ilvl="6" w:tplc="27808755" w:tentative="1">
      <w:start w:val="1"/>
      <w:numFmt w:val="decimal"/>
      <w:lvlText w:val="%7."/>
      <w:lvlJc w:val="left"/>
      <w:pPr>
        <w:ind w:left="5040" w:hanging="360"/>
      </w:pPr>
    </w:lvl>
    <w:lvl w:ilvl="7" w:tplc="27808755" w:tentative="1">
      <w:start w:val="1"/>
      <w:numFmt w:val="lowerLetter"/>
      <w:lvlText w:val="%8."/>
      <w:lvlJc w:val="left"/>
      <w:pPr>
        <w:ind w:left="5760" w:hanging="360"/>
      </w:pPr>
    </w:lvl>
    <w:lvl w:ilvl="8" w:tplc="27808755" w:tentative="1">
      <w:start w:val="1"/>
      <w:numFmt w:val="lowerRoman"/>
      <w:lvlText w:val="%9."/>
      <w:lvlJc w:val="right"/>
      <w:pPr>
        <w:ind w:left="6480" w:hanging="180"/>
      </w:pPr>
    </w:lvl>
  </w:abstractNum>
  <w:abstractNum w:abstractNumId="24597">
    <w:multiLevelType w:val="hybridMultilevel"/>
    <w:lvl w:ilvl="0" w:tplc="79586885">
      <w:start w:val="1"/>
      <w:numFmt w:val="decimal"/>
      <w:lvlText w:val="%1."/>
      <w:lvlJc w:val="left"/>
      <w:pPr>
        <w:ind w:left="720" w:hanging="360"/>
      </w:pPr>
    </w:lvl>
    <w:lvl w:ilvl="1" w:tplc="79586885" w:tentative="1">
      <w:start w:val="1"/>
      <w:numFmt w:val="lowerLetter"/>
      <w:lvlText w:val="%2."/>
      <w:lvlJc w:val="left"/>
      <w:pPr>
        <w:ind w:left="1440" w:hanging="360"/>
      </w:pPr>
    </w:lvl>
    <w:lvl w:ilvl="2" w:tplc="79586885" w:tentative="1">
      <w:start w:val="1"/>
      <w:numFmt w:val="lowerRoman"/>
      <w:lvlText w:val="%3."/>
      <w:lvlJc w:val="right"/>
      <w:pPr>
        <w:ind w:left="2160" w:hanging="180"/>
      </w:pPr>
    </w:lvl>
    <w:lvl w:ilvl="3" w:tplc="79586885" w:tentative="1">
      <w:start w:val="1"/>
      <w:numFmt w:val="decimal"/>
      <w:lvlText w:val="%4."/>
      <w:lvlJc w:val="left"/>
      <w:pPr>
        <w:ind w:left="2880" w:hanging="360"/>
      </w:pPr>
    </w:lvl>
    <w:lvl w:ilvl="4" w:tplc="79586885" w:tentative="1">
      <w:start w:val="1"/>
      <w:numFmt w:val="lowerLetter"/>
      <w:lvlText w:val="%5."/>
      <w:lvlJc w:val="left"/>
      <w:pPr>
        <w:ind w:left="3600" w:hanging="360"/>
      </w:pPr>
    </w:lvl>
    <w:lvl w:ilvl="5" w:tplc="79586885" w:tentative="1">
      <w:start w:val="1"/>
      <w:numFmt w:val="lowerRoman"/>
      <w:lvlText w:val="%6."/>
      <w:lvlJc w:val="right"/>
      <w:pPr>
        <w:ind w:left="4320" w:hanging="180"/>
      </w:pPr>
    </w:lvl>
    <w:lvl w:ilvl="6" w:tplc="79586885" w:tentative="1">
      <w:start w:val="1"/>
      <w:numFmt w:val="decimal"/>
      <w:lvlText w:val="%7."/>
      <w:lvlJc w:val="left"/>
      <w:pPr>
        <w:ind w:left="5040" w:hanging="360"/>
      </w:pPr>
    </w:lvl>
    <w:lvl w:ilvl="7" w:tplc="79586885" w:tentative="1">
      <w:start w:val="1"/>
      <w:numFmt w:val="lowerLetter"/>
      <w:lvlText w:val="%8."/>
      <w:lvlJc w:val="left"/>
      <w:pPr>
        <w:ind w:left="5760" w:hanging="360"/>
      </w:pPr>
    </w:lvl>
    <w:lvl w:ilvl="8" w:tplc="79586885" w:tentative="1">
      <w:start w:val="1"/>
      <w:numFmt w:val="lowerRoman"/>
      <w:lvlText w:val="%9."/>
      <w:lvlJc w:val="right"/>
      <w:pPr>
        <w:ind w:left="6480" w:hanging="180"/>
      </w:pPr>
    </w:lvl>
  </w:abstractNum>
  <w:abstractNum w:abstractNumId="24596">
    <w:multiLevelType w:val="hybridMultilevel"/>
    <w:lvl w:ilvl="0" w:tplc="65037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596">
    <w:abstractNumId w:val="24596"/>
  </w:num>
  <w:num w:numId="24597">
    <w:abstractNumId w:val="24597"/>
  </w:num>
  <w:num w:numId="24598">
    <w:abstractNumId w:val="24598"/>
  </w:num>
  <w:num w:numId="24599">
    <w:abstractNumId w:val="245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49122766" Type="http://schemas.openxmlformats.org/officeDocument/2006/relationships/comments" Target="comments.xml"/><Relationship Id="rId782061986" Type="http://schemas.microsoft.com/office/2011/relationships/commentsExtended" Target="commentsExtended.xml"/><Relationship Id="rId78315316" Type="http://schemas.openxmlformats.org/officeDocument/2006/relationships/image" Target="media/imgrId78315316.jpg"/><Relationship Id="rId50756363833ab14b1" Type="http://schemas.openxmlformats.org/officeDocument/2006/relationships/hyperlink" Target="https://iservice.lombardini.it/jsp/Template2/manuale.jsp?id=203&amp;parent=1000" TargetMode="External"/><Relationship Id="rId83106363833a88cc9" Type="http://schemas.openxmlformats.org/officeDocument/2006/relationships/image" Target="media/imgrId83106363833a88cc9.jpg"/><Relationship Id="rId12826363833a9b20f" Type="http://schemas.openxmlformats.org/officeDocument/2006/relationships/image" Target="media/imgrId12826363833a9b20f.jpg"/><Relationship Id="rId42346363833aa4dec" Type="http://schemas.openxmlformats.org/officeDocument/2006/relationships/image" Target="media/imgrId42346363833aa4dec.jpg"/><Relationship Id="rId95576363833aafdb8" Type="http://schemas.openxmlformats.org/officeDocument/2006/relationships/image" Target="media/imgrId95576363833aafdb8.jpg"/><Relationship Id="rId28666363833ac105a" Type="http://schemas.openxmlformats.org/officeDocument/2006/relationships/image" Target="media/imgrId28666363833ac105a.png"/><Relationship Id="rId79426363833acb158" Type="http://schemas.openxmlformats.org/officeDocument/2006/relationships/image" Target="media/imgrId79426363833acb158.png"/><Relationship Id="rId90676363833ad7c92" Type="http://schemas.openxmlformats.org/officeDocument/2006/relationships/image" Target="media/imgrId90676363833ad7c92.png"/><Relationship Id="rId92786363833aea637" Type="http://schemas.openxmlformats.org/officeDocument/2006/relationships/image" Target="media/imgrId92786363833aea63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8315316" Type="http://schemas.openxmlformats.org/officeDocument/2006/relationships/image" Target="media/imgrId7831531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8315316" Type="http://schemas.openxmlformats.org/officeDocument/2006/relationships/image" Target="media/imgrId7831531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8315316" Type="http://schemas.openxmlformats.org/officeDocument/2006/relationships/image" Target="media/imgrId7831531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8315316" Type="http://schemas.openxmlformats.org/officeDocument/2006/relationships/image" Target="media/imgrId7831531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8315316" Type="http://schemas.openxmlformats.org/officeDocument/2006/relationships/image" Target="media/imgrId7831531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8315316" Type="http://schemas.openxmlformats.org/officeDocument/2006/relationships/image" Target="media/imgrId7831531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