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2504TCR / KDI 2504TCRE5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673720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20403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2797874" w:name="ctxt"/>
    <w:bookmarkEnd w:id="62797874"/>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94418493" name="name2254637616b32d4e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771637616b32d4e0"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66759095" name="name7807637616b3401e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313637616b3401e2"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CAPACITÉ HUILE (niveau MAX.) avec filtre à huile monté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avec dispositif équilibreur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44000"/>
            <wp:effectExtent b="0" l="0" r="0" t="0"/>
            <wp:docPr id="91087954" name="name8217637616b35138f"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209637616b35138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53214" name="name1074637616b37c3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94637616b37c36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919"/>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6919"/>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6919"/>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6919"/>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6919"/>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0324" name="name7996637616b38383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25637616b38383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919"/>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6919"/>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6919"/>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6919"/>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6919"/>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6919"/>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6919"/>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6919"/>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250623" name="name5852637616b38e1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29637616b38e17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919"/>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6919"/>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17916" name="name9543637616b39642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81637616b39642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919"/>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6919"/>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KDI Injection électronique certifiés Tier 4 final – Stage IIIB – Stage IV- Stage V</w:t>
      </w:r>
    </w:p>
    <w:p>
      <w:pPr>
        <w:numPr>
          <w:ilvl w:val="0"/>
          <w:numId w:val="691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certifiés émissions équivalentes aux moteurs Tier 3 – Stage IIIA (moteurs EGR)</w:t>
      </w:r>
    </w:p>
    <w:p>
      <w:pPr>
        <w:numPr>
          <w:ilvl w:val="0"/>
          <w:numId w:val="691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non certifiés (pas de moteurs EGR).</w:t>
      </w:r>
    </w:p>
    <w:p>
      <w:pPr>
        <w:numPr>
          <w:ilvl w:val="0"/>
          <w:numId w:val="691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6919"/>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6919"/>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6919"/>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6919"/>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6919"/>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19"/>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6919"/>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7616212" name="name9987637616b3aa00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94637616b3aa00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919"/>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6919"/>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Dans le </w:t>
            </w:r>
            <w:r>
              <w:rPr>
                <w:b/>
                <w:bCs/>
                <w:color w:val="00274C"/>
                <w:position w:val="-2"/>
                <w:sz w:val="20"/>
                <w:szCs w:val="20"/>
                <w:u w:val="none"/>
              </w:rPr>
              <w:t xml:space="preserve">Tab. 2.8</w:t>
            </w:r>
            <w:r>
              <w:rPr>
                <w:color w:val="00274C"/>
                <w:position w:val="-2"/>
                <w:sz w:val="20"/>
                <w:szCs w:val="20"/>
                <w:u w:val="none"/>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u w:val="none"/>
              </w:rPr>
              <w:b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d'allumage du tableau et moteur avec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Écran pour consultation des données ou des erreurs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sélection ou saisie des données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d'état de fonctionnement du moteur (verte = aucun problème rencontré)</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90181379" name="name3028637616b3b6ee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268637616b3b6ee1"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si la LED </w:t>
            </w:r>
            <w:r>
              <w:rPr>
                <w:b/>
                <w:bCs/>
                <w:color w:val="00274C"/>
                <w:position w:val="-2"/>
                <w:sz w:val="20"/>
                <w:szCs w:val="20"/>
                <w:u w:val="none"/>
              </w:rPr>
              <w:t xml:space="preserve">F</w:t>
            </w:r>
            <w:r>
              <w:rPr>
                <w:color w:val="00274C"/>
                <w:position w:val="-2"/>
                <w:sz w:val="20"/>
                <w:szCs w:val="20"/>
                <w:u w:val="none"/>
              </w:rPr>
              <w:t xml:space="preserve"> est allumée en rouge, consulter les ateliers autorisés </w:t>
            </w:r>
            <w:r>
              <w:rPr>
                <w:b/>
                <w:bCs/>
                <w:color w:val="00274C"/>
                <w:position w:val="-2"/>
                <w:sz w:val="20"/>
                <w:szCs w:val="20"/>
                <w:u w:val="none"/>
              </w:rPr>
              <w:t xml:space="preserve">KOHLER</w:t>
            </w:r>
            <w:r>
              <w:rPr>
                <w:color w:val="00274C"/>
                <w:position w:val="-2"/>
                <w:sz w:val="20"/>
                <w:szCs w:val="20"/>
                <w:u w:val="none"/>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u w:val="none"/>
              </w:rPr>
              <w:t xml:space="preserve">Le </w:t>
            </w:r>
            <w:r>
              <w:rPr>
                <w:b/>
                <w:bCs/>
                <w:color w:val="00274C"/>
                <w:position w:val="-2"/>
                <w:sz w:val="20"/>
                <w:szCs w:val="20"/>
                <w:u w:val="none"/>
              </w:rPr>
              <w:t xml:space="preserve">Tab. 2.9</w:t>
            </w:r>
            <w:r>
              <w:rPr>
                <w:color w:val="00274C"/>
                <w:position w:val="-2"/>
                <w:sz w:val="20"/>
                <w:szCs w:val="20"/>
                <w:u w:val="none"/>
              </w:rPr>
              <w:t xml:space="preserve">  indique les données qu'il est possible de consulter à l'écran </w:t>
            </w:r>
            <w:r>
              <w:rPr>
                <w:b/>
                <w:bCs/>
                <w:color w:val="00274C"/>
                <w:position w:val="-2"/>
                <w:sz w:val="20"/>
                <w:szCs w:val="20"/>
                <w:u w:val="none"/>
              </w:rPr>
              <w:t xml:space="preserve">B</w:t>
            </w:r>
            <w:r>
              <w:rPr>
                <w:color w:val="00274C"/>
                <w:position w:val="-2"/>
                <w:sz w:val="20"/>
                <w:szCs w:val="20"/>
                <w:u w:val="none"/>
              </w:rPr>
              <w:t xml:space="preserve"> en appuyant sur les boutons </w:t>
            </w:r>
            <w:r>
              <w:rPr>
                <w:b/>
                <w:bCs/>
                <w:color w:val="00274C"/>
                <w:position w:val="-2"/>
                <w:sz w:val="20"/>
                <w:szCs w:val="20"/>
                <w:u w:val="none"/>
              </w:rPr>
              <w:t xml:space="preserve">C</w:t>
            </w:r>
            <w:r>
              <w:rPr>
                <w:color w:val="00274C"/>
                <w:position w:val="-2"/>
                <w:sz w:val="20"/>
                <w:szCs w:val="20"/>
                <w:u w:val="none"/>
              </w:rPr>
              <w:t xml:space="preserve"> ou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les données décrites dans le </w:t>
            </w:r>
            <w:r>
              <w:rPr>
                <w:b/>
                <w:bCs/>
                <w:color w:val="00274C"/>
                <w:position w:val="-2"/>
                <w:sz w:val="20"/>
                <w:szCs w:val="20"/>
                <w:u w:val="none"/>
              </w:rPr>
              <w:t xml:space="preserve">Tab. 2.9</w:t>
            </w:r>
            <w:r>
              <w:rPr>
                <w:color w:val="00274C"/>
                <w:position w:val="-2"/>
                <w:sz w:val="20"/>
                <w:szCs w:val="20"/>
                <w:u w:val="none"/>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restantes jusqu'à l'entretien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huile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920">
    <w:multiLevelType w:val="hybridMultilevel"/>
    <w:lvl w:ilvl="0" w:tplc="19087668">
      <w:start w:val="1"/>
      <w:numFmt w:val="decimal"/>
      <w:lvlText w:val="%1."/>
      <w:lvlJc w:val="left"/>
      <w:pPr>
        <w:ind w:left="720" w:hanging="360"/>
      </w:pPr>
    </w:lvl>
    <w:lvl w:ilvl="1" w:tplc="19087668" w:tentative="1">
      <w:start w:val="1"/>
      <w:numFmt w:val="lowerLetter"/>
      <w:lvlText w:val="%2."/>
      <w:lvlJc w:val="left"/>
      <w:pPr>
        <w:ind w:left="1440" w:hanging="360"/>
      </w:pPr>
    </w:lvl>
    <w:lvl w:ilvl="2" w:tplc="19087668" w:tentative="1">
      <w:start w:val="1"/>
      <w:numFmt w:val="lowerRoman"/>
      <w:lvlText w:val="%3."/>
      <w:lvlJc w:val="right"/>
      <w:pPr>
        <w:ind w:left="2160" w:hanging="180"/>
      </w:pPr>
    </w:lvl>
    <w:lvl w:ilvl="3" w:tplc="19087668" w:tentative="1">
      <w:start w:val="1"/>
      <w:numFmt w:val="decimal"/>
      <w:lvlText w:val="%4."/>
      <w:lvlJc w:val="left"/>
      <w:pPr>
        <w:ind w:left="2880" w:hanging="360"/>
      </w:pPr>
    </w:lvl>
    <w:lvl w:ilvl="4" w:tplc="19087668" w:tentative="1">
      <w:start w:val="1"/>
      <w:numFmt w:val="lowerLetter"/>
      <w:lvlText w:val="%5."/>
      <w:lvlJc w:val="left"/>
      <w:pPr>
        <w:ind w:left="3600" w:hanging="360"/>
      </w:pPr>
    </w:lvl>
    <w:lvl w:ilvl="5" w:tplc="19087668" w:tentative="1">
      <w:start w:val="1"/>
      <w:numFmt w:val="lowerRoman"/>
      <w:lvlText w:val="%6."/>
      <w:lvlJc w:val="right"/>
      <w:pPr>
        <w:ind w:left="4320" w:hanging="180"/>
      </w:pPr>
    </w:lvl>
    <w:lvl w:ilvl="6" w:tplc="19087668" w:tentative="1">
      <w:start w:val="1"/>
      <w:numFmt w:val="decimal"/>
      <w:lvlText w:val="%7."/>
      <w:lvlJc w:val="left"/>
      <w:pPr>
        <w:ind w:left="5040" w:hanging="360"/>
      </w:pPr>
    </w:lvl>
    <w:lvl w:ilvl="7" w:tplc="19087668" w:tentative="1">
      <w:start w:val="1"/>
      <w:numFmt w:val="lowerLetter"/>
      <w:lvlText w:val="%8."/>
      <w:lvlJc w:val="left"/>
      <w:pPr>
        <w:ind w:left="5760" w:hanging="360"/>
      </w:pPr>
    </w:lvl>
    <w:lvl w:ilvl="8" w:tplc="19087668" w:tentative="1">
      <w:start w:val="1"/>
      <w:numFmt w:val="lowerRoman"/>
      <w:lvlText w:val="%9."/>
      <w:lvlJc w:val="right"/>
      <w:pPr>
        <w:ind w:left="6480" w:hanging="180"/>
      </w:pPr>
    </w:lvl>
  </w:abstractNum>
  <w:abstractNum w:abstractNumId="6919">
    <w:multiLevelType w:val="hybridMultilevel"/>
    <w:lvl w:ilvl="0" w:tplc="783289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919">
    <w:abstractNumId w:val="6919"/>
  </w:num>
  <w:num w:numId="6920">
    <w:abstractNumId w:val="69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49671434" Type="http://schemas.openxmlformats.org/officeDocument/2006/relationships/comments" Target="comments.xml"/><Relationship Id="rId911951945" Type="http://schemas.microsoft.com/office/2011/relationships/commentsExtended" Target="commentsExtended.xml"/><Relationship Id="rId99204035" Type="http://schemas.openxmlformats.org/officeDocument/2006/relationships/image" Target="media/imgrId99204035.jpg"/><Relationship Id="rId2771637616b32d4e0" Type="http://schemas.openxmlformats.org/officeDocument/2006/relationships/image" Target="media/imgrId2771637616b32d4e0.jpg"/><Relationship Id="rId8313637616b3401e2" Type="http://schemas.openxmlformats.org/officeDocument/2006/relationships/image" Target="media/imgrId8313637616b3401e2.jpg"/><Relationship Id="rId5209637616b35138a" Type="http://schemas.openxmlformats.org/officeDocument/2006/relationships/image" Target="media/imgrId5209637616b35138a.jpg"/><Relationship Id="rId9894637616b37c36c" Type="http://schemas.openxmlformats.org/officeDocument/2006/relationships/image" Target="media/imgrId9894637616b37c36c.jpg"/><Relationship Id="rId4225637616b383834" Type="http://schemas.openxmlformats.org/officeDocument/2006/relationships/image" Target="media/imgrId4225637616b383834.jpg"/><Relationship Id="rId9629637616b38e172" Type="http://schemas.openxmlformats.org/officeDocument/2006/relationships/image" Target="media/imgrId9629637616b38e172.jpg"/><Relationship Id="rId5681637616b396427" Type="http://schemas.openxmlformats.org/officeDocument/2006/relationships/image" Target="media/imgrId5681637616b396427.jpg"/><Relationship Id="rId6494637616b3aa008" Type="http://schemas.openxmlformats.org/officeDocument/2006/relationships/image" Target="media/imgrId6494637616b3aa008.png"/><Relationship Id="rId2268637616b3b6ee1" Type="http://schemas.openxmlformats.org/officeDocument/2006/relationships/image" Target="media/imgrId2268637616b3b6e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204035" Type="http://schemas.openxmlformats.org/officeDocument/2006/relationships/image" Target="media/imgrId9920403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204035" Type="http://schemas.openxmlformats.org/officeDocument/2006/relationships/image" Target="media/imgrId9920403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204035" Type="http://schemas.openxmlformats.org/officeDocument/2006/relationships/image" Target="media/imgrId9920403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204035" Type="http://schemas.openxmlformats.org/officeDocument/2006/relationships/image" Target="media/imgrId9920403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204035" Type="http://schemas.openxmlformats.org/officeDocument/2006/relationships/image" Target="media/imgrId9920403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204035" Type="http://schemas.openxmlformats.org/officeDocument/2006/relationships/image" Target="media/imgrId9920403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