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2504 M (Rev. 16)</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810544699"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1360066"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56683902" w:name="ctxt"/>
    <w:bookmarkEnd w:id="56683902"/>
    <w:p>
      <w:pPr>
        <w:widowControl w:val="on"/>
        <w:pBdr/>
        <w:spacing w:before="75" w:after="75" w:line="240" w:lineRule="auto"/>
        <w:ind w:left="75" w:right="75"/>
        <w:jc w:val="left"/>
      </w:pPr>
    </w:p>
    <w:p>
      <w:pPr>
        <w:pStyle w:val="Titolo1"/>
      </w:pPr>
      <w:r>
        <w:rPr/>
        <w:t xml:space="preserve">Informazioni tecniche</w:t>
      </w:r>
    </w:p>
    <w:p>
      <w:pPr>
        <w:widowControl w:val="on"/>
        <w:pBdr/>
        <w:spacing w:before="0" w:after="0" w:line="240" w:lineRule="auto"/>
        <w:ind w:left="0" w:right="0"/>
        <w:jc w:val="left"/>
      </w:pPr>
    </w:p>
    <w:p>
      <w:pPr>
        <w:pStyle w:val="Titolo2"/>
      </w:pPr>
      <w:r>
        <w:rPr/>
        <w:t xml:space="preserve">Descrizione generale del motore</w:t>
      </w:r>
    </w:p>
    <w:p>
      <w:pPr>
        <w:widowControl w:val="on"/>
        <w:pBdr/>
        <w:spacing w:before="0" w:after="0" w:line="262" w:lineRule="auto"/>
        <w:ind w:left="0" w:right="0"/>
        <w:jc w:val="left"/>
      </w:pPr>
      <w:r>
        <w:rPr>
          <w:color w:val="00274C"/>
          <w:sz w:val="20"/>
          <w:szCs w:val="20"/>
          <w:u w:val="none"/>
        </w:rPr>
        <w:t xml:space="preserve">- Diesel 4 tempi con cilindri in linea; - Raffreddamento a liquido;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valvole per cilindro con punterie idrauliche;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Iniezione diretta.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Dati tecnici motore</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CARATTERISTICHE TECNICHE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UNITA' DI MISURA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  </w:t>
            </w:r>
            <w:r>
              <w:rPr>
                <w:position w:val="-46"/>
              </w:rPr>
              <w:drawing>
                <wp:inline distT="0" distB="0" distL="0" distR="0">
                  <wp:extent cx="856800" cy="648000"/>
                  <wp:effectExtent b="0" l="0" r="0" t="0"/>
                  <wp:docPr id="86890711" name="name345463af412264762" descr="KDI1903M_Ta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1903M_Tab_2.1.jpg"/>
                          <pic:cNvPicPr/>
                        </pic:nvPicPr>
                        <pic:blipFill>
                          <a:blip r:embed="rId547263af41226475d" cstate="print"/>
                          <a:stretch>
                            <a:fillRect/>
                          </a:stretch>
                        </pic:blipFill>
                        <pic:spPr>
                          <a:xfrm>
                            <a:off x="0" y="0"/>
                            <a:ext cx="856800" cy="648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54"/>
              </w:rPr>
              <w:drawing>
                <wp:inline distT="0" distB="0" distL="0" distR="0">
                  <wp:extent cx="1101600" cy="756000"/>
                  <wp:effectExtent b="0" l="0" r="0" t="0"/>
                  <wp:docPr id="11354024" name="name400163af41226cb25" descr="KDI2504M_scheda_tec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2504M_scheda_tecnica.jpg"/>
                          <pic:cNvPicPr/>
                        </pic:nvPicPr>
                        <pic:blipFill>
                          <a:blip r:embed="rId124363af41226cb1e" cstate="print"/>
                          <a:stretch>
                            <a:fillRect/>
                          </a:stretch>
                        </pic:blipFill>
                        <pic:spPr>
                          <a:xfrm>
                            <a:off x="0" y="0"/>
                            <a:ext cx="1101600" cy="7560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del motore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1903 M</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M</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1861</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INCLINAZIONE MASSIMA DURANTE IL FUNZIONAMENTO (anche in combinato)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 max. 30 minuti</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max.1 minuto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CAPACITÀ OLIO (livello MAX.) con filtro olio montato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210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244</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Ingombro motori (mm)</w:t>
      </w:r>
    </w:p>
    <w:p>
      <w:pPr>
        <w:widowControl w:val="on"/>
        <w:pBdr/>
        <w:spacing w:before="225" w:after="225" w:line="262" w:lineRule="auto"/>
        <w:ind w:left="0" w:right="0"/>
        <w:jc w:val="left"/>
      </w:pPr>
      <w:r>
        <w:drawing>
          <wp:inline distT="0" distB="0" distL="0" distR="0">
            <wp:extent cx="4752000" cy="2469600"/>
            <wp:effectExtent b="0" l="0" r="0" t="0"/>
            <wp:docPr id="94465943" name="name122163af41228334f" descr="10_ZHs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ZHs_M.jpg"/>
                    <pic:cNvPicPr/>
                  </pic:nvPicPr>
                  <pic:blipFill>
                    <a:blip r:embed="rId812463af412283349" cstate="print"/>
                    <a:stretch>
                      <a:fillRect/>
                    </a:stretch>
                  </pic:blipFill>
                  <pic:spPr>
                    <a:xfrm>
                      <a:off x="0" y="0"/>
                      <a:ext cx="4752000" cy="24696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Olio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1159219" name="name226663af412289f95"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09963af412289f8c"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3858"/>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13858"/>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13858"/>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13858"/>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13858"/>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8012273" name="name365463af412294eae"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41863af412294ea7"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3858"/>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13858"/>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13858"/>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760463af412297134" w:history="1"/>
    </w:p>
    <w:p>
      <w:pPr>
        <w:widowControl w:val="on"/>
        <w:pBdr/>
        <w:spacing w:before="0" w:after="0" w:line="262" w:lineRule="auto"/>
        <w:ind w:left="0" w:right="0"/>
        <w:jc w:val="left"/>
      </w:pPr>
      <w:r>
        <w:rPr>
          <w:rStyle w:val="DefaultParagraphFontPHPDOCX"/>
          <w:b/>
          <w:bCs/>
          <w:color w:val="00274C"/>
          <w:sz w:val="20"/>
          <w:szCs w:val="20"/>
          <w:u w:val="none"/>
        </w:rPr>
        <w:br/>
        <w:br/>
        <w:br/>
        <w:t xml:space="preserve">2.4.1 Classificazione olio SAE</w:t>
      </w:r>
    </w:p>
    <w:p>
      <w:pPr>
        <w:numPr>
          <w:ilvl w:val="0"/>
          <w:numId w:val="13858"/>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13858"/>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OLIO PRESCRITTO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 (-25°C ÷ +40°C) 10w-40 (-25°C ÷ +50°C)</w:t>
            </w:r>
            <w:r>
              <w:rPr>
                <w:color w:val="00274C"/>
                <w:position w:val="-2"/>
                <w:sz w:val="20"/>
                <w:szCs w:val="20"/>
                <w:u w:val="none"/>
                <w:shd w:val="clear" w:color="auto" w:fill="E1E2E0"/>
              </w:rPr>
              <w:br/>
              <w:br/>
              <w:t xml:space="preserve">5w-30 (-30°C ÷ +40°C)</w:t>
            </w:r>
            <w:r>
              <w:rPr>
                <w:color w:val="00274C"/>
                <w:position w:val="-2"/>
                <w:sz w:val="20"/>
                <w:szCs w:val="20"/>
                <w:u w:val="none"/>
                <w:shd w:val="clear" w:color="auto" w:fill="E1E2E0"/>
              </w:rPr>
              <w:b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E5</w:t>
            </w:r>
          </w:p>
        </w:tc>
      </w:tr>
    </w:tbl>
    <w:p>
      <w:pPr>
        <w:widowControl w:val="on"/>
        <w:pBdr/>
        <w:spacing w:before="0" w:after="0" w:line="262" w:lineRule="auto"/>
        <w:ind w:left="0" w:right="0"/>
        <w:jc w:val="left"/>
      </w:pPr>
      <w:r>
        <w:rPr>
          <w:color w:val="00274C"/>
          <w:sz w:val="20"/>
          <w:szCs w:val="20"/>
          <w:u w:val="none"/>
        </w:rPr>
        <w:t xml:space="preserve"> </w:t>
      </w:r>
    </w:p>
    <w:p>
      <w:pPr>
        <w:numPr>
          <w:ilvl w:val="0"/>
          <w:numId w:val="13858"/>
        </w:numPr>
        <w:spacing w:before="0" w:after="0" w:line="240" w:lineRule="auto"/>
        <w:jc w:val="left"/>
        <w:rPr>
          <w:color w:val="00274C"/>
          <w:sz w:val="20"/>
          <w:szCs w:val="20"/>
        </w:rPr>
      </w:pPr>
      <w:r>
        <w:rPr>
          <w:color w:val="00274C"/>
          <w:sz w:val="20"/>
          <w:szCs w:val="20"/>
          <w:u w:val="none"/>
        </w:rPr>
        <w:t xml:space="preserve">Gli oli Low S.A.P.S. con ceneri solfatate &lt;1% non possono essere usati con carburanti con contenuto di zolfo &gt;50ppm.</w:t>
      </w:r>
    </w:p>
    <w:p>
      <w:pPr>
        <w:numPr>
          <w:ilvl w:val="0"/>
          <w:numId w:val="13858"/>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7481765" name="name233963af4122a4cf8"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256963af4122a4cf3"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13858"/>
              </w:numPr>
              <w:spacing w:before="0" w:after="0" w:line="262" w:lineRule="auto"/>
              <w:jc w:val="left"/>
              <w:rPr>
                <w:color w:val="00274C"/>
                <w:sz w:val="20"/>
                <w:szCs w:val="20"/>
              </w:rPr>
            </w:pPr>
            <w:r>
              <w:rPr>
                <w:color w:val="00274C"/>
                <w:position w:val="-2"/>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13858"/>
              </w:numPr>
              <w:spacing w:before="0" w:after="0" w:line="262" w:lineRule="auto"/>
              <w:jc w:val="left"/>
              <w:rPr>
                <w:color w:val="00274C"/>
                <w:sz w:val="20"/>
                <w:szCs w:val="20"/>
              </w:rPr>
            </w:pPr>
            <w:r>
              <w:rPr>
                <w:color w:val="00274C"/>
                <w:position w:val="-2"/>
                <w:sz w:val="20"/>
                <w:szCs w:val="20"/>
                <w:u w:val="none"/>
              </w:rPr>
              <w:t xml:space="preserve">Qualsiasi danno derivante dall’uso di carburanti diversi da quelli raccomandati non sarà coperto dalla garanzia.</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30100965" name="name737363af4122b1a80"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527263af4122b1a7b"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Avvertenza</w:t>
            </w:r>
          </w:p>
          <w:p>
            <w:pPr>
              <w:numPr>
                <w:ilvl w:val="0"/>
                <w:numId w:val="13858"/>
              </w:numPr>
              <w:spacing w:before="0" w:after="0" w:line="262" w:lineRule="auto"/>
              <w:jc w:val="left"/>
              <w:rPr>
                <w:color w:val="00274C"/>
                <w:sz w:val="20"/>
                <w:szCs w:val="20"/>
              </w:rPr>
            </w:pPr>
            <w:r>
              <w:rPr>
                <w:color w:val="00274C"/>
                <w:position w:val="0"/>
                <w:sz w:val="20"/>
                <w:szCs w:val="20"/>
                <w:u w:val="none"/>
              </w:rPr>
              <w:t xml:space="preserve">L’uso di carburante adeguatamente filtrato previene l’intasamento dell’impianto di iniezione. Pulire immediatamente qualsiasi fuoriuscita di carburante durante il rifornimento. </w:t>
            </w:r>
          </w:p>
          <w:p>
            <w:pPr>
              <w:numPr>
                <w:ilvl w:val="0"/>
                <w:numId w:val="13858"/>
              </w:numPr>
              <w:spacing w:before="0" w:after="0" w:line="262" w:lineRule="auto"/>
              <w:jc w:val="left"/>
              <w:rPr>
                <w:color w:val="00274C"/>
                <w:sz w:val="20"/>
                <w:szCs w:val="20"/>
              </w:rPr>
            </w:pPr>
            <w:r>
              <w:rPr>
                <w:color w:val="00274C"/>
                <w:position w:val="0"/>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p>
            <w:pPr>
              <w:numPr>
                <w:ilvl w:val="0"/>
                <w:numId w:val="13858"/>
              </w:numPr>
              <w:spacing w:before="0" w:after="0" w:line="262" w:lineRule="auto"/>
              <w:jc w:val="left"/>
              <w:rPr>
                <w:color w:val="00274C"/>
                <w:sz w:val="20"/>
                <w:szCs w:val="20"/>
              </w:rPr>
            </w:pPr>
            <w:r>
              <w:rPr>
                <w:color w:val="00274C"/>
                <w:position w:val="0"/>
                <w:sz w:val="20"/>
                <w:szCs w:val="20"/>
                <w:u w:val="none"/>
              </w:rPr>
              <w:t xml:space="preserve">Eventuali guasti derivanti dall'utilizzo di carburante diverso da </w:t>
            </w:r>
            <w:r>
              <w:rPr>
                <w:b/>
                <w:bCs/>
                <w:color w:val="00274C"/>
                <w:position w:val="0"/>
                <w:sz w:val="20"/>
                <w:szCs w:val="20"/>
                <w:u w:val="none"/>
              </w:rPr>
              <w:t xml:space="preserve">Tab. 2.3, 2.4</w:t>
            </w:r>
            <w:r>
              <w:rPr>
                <w:color w:val="00274C"/>
                <w:position w:val="0"/>
                <w:sz w:val="20"/>
                <w:szCs w:val="20"/>
                <w:u w:val="none"/>
              </w:rPr>
              <w:t xml:space="preserve"> non saranno coperti da garanzia.</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i/>
                <w:iCs/>
                <w:color w:val="00274C"/>
                <w:position w:val="-2"/>
                <w:sz w:val="20"/>
                <w:szCs w:val="20"/>
                <w:u w:val="none"/>
              </w:rPr>
              <w:t xml:space="preserve">Numero di cetano minimo 40. È preferibile un numero di cetano maggiore di 47, soprattutto per temperature inferiori a –20 °C (–4 °F) o altitudini superiori a 1675 m (5500 piedi).</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Certificatione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non certificati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nei paesi dove il carburante ha basse proprietà lubrificanti, il filtro carburante primario deve essere provvisto di dosatore di lubrificante.</w:t>
                  </w:r>
                </w:p>
                <w:p>
                  <w:pPr>
                    <w:widowControl w:val="on"/>
                    <w:pBdr/>
                    <w:spacing w:before="0" w:after="0" w:line="262" w:lineRule="auto"/>
                    <w:ind w:left="0" w:right="0"/>
                    <w:jc w:val="left"/>
                    <w:textAlignment w:val="center"/>
                  </w:pPr>
                  <w:r>
                    <w:rPr>
                      <w:b/>
                      <w:bCs/>
                      <w:color w:val="00274C"/>
                      <w:position w:val="-2"/>
                      <w:sz w:val="20"/>
                      <w:szCs w:val="20"/>
                      <w:u w:val="none"/>
                    </w:rPr>
                    <w:t xml:space="preserve">Contattare Kohler per informazioni sul filtro approvato per questo scopo</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Tipo di Carburante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EN590.</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Coppia e Potenza potrebbe essere inferiore dall' 1% al 5% dovuto alla bassa densità del carburante rispetto al carburante diesel.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militare NATO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Per ambienti con temperature inferiori agli 0°C (32°F) senza diesel artico disponibile (Grade 1-D S15, Grade 2-D S15, ASTM D 975) usare i seguenti additivi per prevenire possibili danni al motore con bassi carichi in ambienti freddi:</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3858"/>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Additivi differenti non sono ammessi.</w:t>
                  </w:r>
                </w:p>
                <w:p>
                  <w:pPr>
                    <w:widowControl w:val="on"/>
                    <w:pBdr/>
                    <w:spacing w:before="0" w:after="0" w:line="262" w:lineRule="auto"/>
                    <w:ind w:left="0" w:right="0"/>
                    <w:jc w:val="left"/>
                    <w:textAlignment w:val="center"/>
                  </w:pPr>
                  <w:r>
                    <w:rPr>
                      <w:color w:val="00274C"/>
                      <w:position w:val="-2"/>
                      <w:sz w:val="20"/>
                      <w:szCs w:val="20"/>
                      <w:u w:val="none"/>
                    </w:rPr>
                    <w:t xml:space="preserve">L'uso degli additivi ammessi non ha alcun impatto sulla tabella della manutenzione programmata.</w:t>
                  </w:r>
                </w:p>
                <w:p/>
                <w:p/>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ASTM D975 Grade1 and Grade2.</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contenuto di zolfo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alto contenuto di zolfo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ad uso NATO)</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Funzionamento con Jet Fuels</w:t>
                  </w:r>
                </w:p>
                <w:p/>
                <w:p/>
                <w:p>
                  <w:pPr>
                    <w:widowControl w:val="on"/>
                    <w:pBdr/>
                    <w:spacing w:before="0" w:after="0" w:line="262" w:lineRule="auto"/>
                    <w:ind w:left="0" w:right="0"/>
                    <w:jc w:val="left"/>
                    <w:textAlignment w:val="top"/>
                  </w:pPr>
                  <w:r>
                    <w:rPr>
                      <w:color w:val="00274C"/>
                      <w:position w:val="0"/>
                      <w:sz w:val="20"/>
                      <w:szCs w:val="20"/>
                      <w:u w:val="none"/>
                    </w:rPr>
                    <w:t xml:space="preserve">I carburanti Jet possono essere utilizzati solo con motore provvisto di filtro carburante primario con dosatore di lubrificante.</w:t>
                  </w:r>
                </w:p>
                <w:p>
                  <w:pPr>
                    <w:widowControl w:val="on"/>
                    <w:pBdr/>
                    <w:spacing w:before="0" w:after="0" w:line="262" w:lineRule="auto"/>
                    <w:ind w:left="0" w:right="0"/>
                    <w:jc w:val="left"/>
                    <w:textAlignment w:val="top"/>
                  </w:pPr>
                  <w:r>
                    <w:rPr>
                      <w:color w:val="00274C"/>
                      <w:position w:val="0"/>
                      <w:sz w:val="20"/>
                      <w:szCs w:val="20"/>
                      <w:u w:val="none"/>
                    </w:rPr>
                    <w:t xml:space="preserve">A causa della minore densità e della perdita maggiore di volume di carburante a causa della minore viscosità, a seconda della velocità e della coppia del motore, è possibile una perdita di potenza fino al 10%.</w:t>
                  </w:r>
                </w:p>
                <w:p>
                  <w:pPr>
                    <w:widowControl w:val="on"/>
                    <w:pBdr/>
                    <w:spacing w:before="0" w:after="0" w:line="262" w:lineRule="auto"/>
                    <w:ind w:left="0" w:right="0"/>
                    <w:jc w:val="left"/>
                    <w:textAlignment w:val="top"/>
                  </w:pPr>
                  <w:r>
                    <w:rPr>
                      <w:color w:val="00274C"/>
                      <w:position w:val="0"/>
                      <w:sz w:val="20"/>
                      <w:szCs w:val="20"/>
                      <w:u w:val="none"/>
                    </w:rPr>
                    <w:t xml:space="preserve">Ci sono alcune proprietà problematiche del carburante tra i jet fuel elencati (viscosità, capacità lubrificanti e basso punto di ebollizione). È prevedibile un leggero aumento dell'usura del sistema di iniezione che può portare ad una durata statisticamente più breve di questi componenti. Il contenuto di zolfo deve essere inferiore a 2000 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ad uso NATO)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ad uso NATO, equivalente a F-34/F-35 con additivi)</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per aviazione civile)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per aviazione civile)</w:t>
                  </w:r>
                </w:p>
                <w:p>
                  <w:pPr>
                    <w:widowControl w:val="on"/>
                    <w:pBdr/>
                    <w:spacing w:before="0" w:after="0" w:line="262" w:lineRule="auto"/>
                    <w:ind w:left="0" w:right="0"/>
                    <w:jc w:val="left"/>
                    <w:textAlignment w:val="center"/>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r>
          </w:tbl>
          <w:p/>
          <w:p>
            <w:pPr>
              <w:widowControl w:val="on"/>
              <w:pBdr/>
              <w:spacing w:before="0" w:after="0" w:line="262" w:lineRule="auto"/>
              <w:ind w:left="0" w:right="0"/>
              <w:jc w:val="left"/>
              <w:textAlignment w:val="center"/>
            </w:pPr>
            <w:r>
              <w:rPr>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ADDITIVI CARBURANTE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NOTE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carburanti con funzioni biocida/alghicida sono ammessi solo in caso di carburante stoccato in serbatoio per lunghi periodi (un anno o più).</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Per i prodotti suggeriti, contattare lo staff Kohler.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Questi additivi devono essere diluiti in percentuale secondo la prescrizione del prodotto durante il riempimento del serbatoio.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carburante con funzioni differenti non sono ammessi.</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3858"/>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13858"/>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40351207" name="name587063af4122c5c86"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545463af4122c5c81"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13858"/>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13858"/>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Caratteristiche batterie</w:t>
      </w:r>
    </w:p>
    <w:p>
      <w:pPr>
        <w:widowControl w:val="on"/>
        <w:pBdr/>
        <w:spacing w:before="0" w:after="0" w:line="262" w:lineRule="auto"/>
        <w:ind w:left="0" w:right="0"/>
        <w:jc w:val="left"/>
      </w:pPr>
      <w:r>
        <w:rPr>
          <w:b/>
          <w:bCs/>
          <w:color w:val="00274C"/>
          <w:sz w:val="20"/>
          <w:szCs w:val="20"/>
          <w:u w:val="none"/>
        </w:rPr>
        <w:t xml:space="preserve">Batteria non di fornitura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&gt;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-15°C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859">
    <w:multiLevelType w:val="hybridMultilevel"/>
    <w:lvl w:ilvl="0" w:tplc="91373544">
      <w:start w:val="1"/>
      <w:numFmt w:val="decimal"/>
      <w:lvlText w:val="%1."/>
      <w:lvlJc w:val="left"/>
      <w:pPr>
        <w:ind w:left="720" w:hanging="360"/>
      </w:pPr>
    </w:lvl>
    <w:lvl w:ilvl="1" w:tplc="91373544" w:tentative="1">
      <w:start w:val="1"/>
      <w:numFmt w:val="lowerLetter"/>
      <w:lvlText w:val="%2."/>
      <w:lvlJc w:val="left"/>
      <w:pPr>
        <w:ind w:left="1440" w:hanging="360"/>
      </w:pPr>
    </w:lvl>
    <w:lvl w:ilvl="2" w:tplc="91373544" w:tentative="1">
      <w:start w:val="1"/>
      <w:numFmt w:val="lowerRoman"/>
      <w:lvlText w:val="%3."/>
      <w:lvlJc w:val="right"/>
      <w:pPr>
        <w:ind w:left="2160" w:hanging="180"/>
      </w:pPr>
    </w:lvl>
    <w:lvl w:ilvl="3" w:tplc="91373544" w:tentative="1">
      <w:start w:val="1"/>
      <w:numFmt w:val="decimal"/>
      <w:lvlText w:val="%4."/>
      <w:lvlJc w:val="left"/>
      <w:pPr>
        <w:ind w:left="2880" w:hanging="360"/>
      </w:pPr>
    </w:lvl>
    <w:lvl w:ilvl="4" w:tplc="91373544" w:tentative="1">
      <w:start w:val="1"/>
      <w:numFmt w:val="lowerLetter"/>
      <w:lvlText w:val="%5."/>
      <w:lvlJc w:val="left"/>
      <w:pPr>
        <w:ind w:left="3600" w:hanging="360"/>
      </w:pPr>
    </w:lvl>
    <w:lvl w:ilvl="5" w:tplc="91373544" w:tentative="1">
      <w:start w:val="1"/>
      <w:numFmt w:val="lowerRoman"/>
      <w:lvlText w:val="%6."/>
      <w:lvlJc w:val="right"/>
      <w:pPr>
        <w:ind w:left="4320" w:hanging="180"/>
      </w:pPr>
    </w:lvl>
    <w:lvl w:ilvl="6" w:tplc="91373544" w:tentative="1">
      <w:start w:val="1"/>
      <w:numFmt w:val="decimal"/>
      <w:lvlText w:val="%7."/>
      <w:lvlJc w:val="left"/>
      <w:pPr>
        <w:ind w:left="5040" w:hanging="360"/>
      </w:pPr>
    </w:lvl>
    <w:lvl w:ilvl="7" w:tplc="91373544" w:tentative="1">
      <w:start w:val="1"/>
      <w:numFmt w:val="lowerLetter"/>
      <w:lvlText w:val="%8."/>
      <w:lvlJc w:val="left"/>
      <w:pPr>
        <w:ind w:left="5760" w:hanging="360"/>
      </w:pPr>
    </w:lvl>
    <w:lvl w:ilvl="8" w:tplc="91373544" w:tentative="1">
      <w:start w:val="1"/>
      <w:numFmt w:val="lowerRoman"/>
      <w:lvlText w:val="%9."/>
      <w:lvlJc w:val="right"/>
      <w:pPr>
        <w:ind w:left="6480" w:hanging="180"/>
      </w:pPr>
    </w:lvl>
  </w:abstractNum>
  <w:abstractNum w:abstractNumId="13858">
    <w:multiLevelType w:val="hybridMultilevel"/>
    <w:lvl w:ilvl="0" w:tplc="600361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3858">
    <w:abstractNumId w:val="13858"/>
  </w:num>
  <w:num w:numId="13859">
    <w:abstractNumId w:val="138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789218409" Type="http://schemas.openxmlformats.org/officeDocument/2006/relationships/comments" Target="comments.xml"/><Relationship Id="rId937832785" Type="http://schemas.microsoft.com/office/2011/relationships/commentsExtended" Target="commentsExtended.xml"/><Relationship Id="rId51360066" Type="http://schemas.openxmlformats.org/officeDocument/2006/relationships/image" Target="media/imgrId51360066.jpg"/><Relationship Id="rId760463af412297134" Type="http://schemas.openxmlformats.org/officeDocument/2006/relationships/hyperlink" Target="https://iservice.lombardini.it/jsp/Template2/manuale.jsp?id=203&amp;parent=1000" TargetMode="External"/><Relationship Id="rId547263af41226475d" Type="http://schemas.openxmlformats.org/officeDocument/2006/relationships/image" Target="media/imgrId547263af41226475d.jpg"/><Relationship Id="rId124363af41226cb1e" Type="http://schemas.openxmlformats.org/officeDocument/2006/relationships/image" Target="media/imgrId124363af41226cb1e.jpg"/><Relationship Id="rId812463af412283349" Type="http://schemas.openxmlformats.org/officeDocument/2006/relationships/image" Target="media/imgrId812463af412283349.jpg"/><Relationship Id="rId609963af412289f8c" Type="http://schemas.openxmlformats.org/officeDocument/2006/relationships/image" Target="media/imgrId609963af412289f8c.jpg"/><Relationship Id="rId741863af412294ea7" Type="http://schemas.openxmlformats.org/officeDocument/2006/relationships/image" Target="media/imgrId741863af412294ea7.jpg"/><Relationship Id="rId256963af4122a4cf3" Type="http://schemas.openxmlformats.org/officeDocument/2006/relationships/image" Target="media/imgrId256963af4122a4cf3.png"/><Relationship Id="rId527263af4122b1a7b" Type="http://schemas.openxmlformats.org/officeDocument/2006/relationships/image" Target="media/imgrId527263af4122b1a7b.png"/><Relationship Id="rId545463af4122c5c81" Type="http://schemas.openxmlformats.org/officeDocument/2006/relationships/image" Target="media/imgrId545463af4122c5c81.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1360066" Type="http://schemas.openxmlformats.org/officeDocument/2006/relationships/image" Target="media/imgrId51360066.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1360066" Type="http://schemas.openxmlformats.org/officeDocument/2006/relationships/image" Target="media/imgrId51360066.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1360066" Type="http://schemas.openxmlformats.org/officeDocument/2006/relationships/image" Target="media/imgrId51360066.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1360066" Type="http://schemas.openxmlformats.org/officeDocument/2006/relationships/image" Target="media/imgrId51360066.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1360066" Type="http://schemas.openxmlformats.org/officeDocument/2006/relationships/image" Target="media/imgrId51360066.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1360066" Type="http://schemas.openxmlformats.org/officeDocument/2006/relationships/image" Target="media/imgrId5136006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