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2420348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2075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629382" w:name="ctxt"/>
    <w:bookmarkEnd w:id="5462938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Alesaggio: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Diametro interno del cilindro nei motori a scoppio.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Alternatore: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che trasforma l'energia meccanica in energia elettrica a corrente alternata.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ATS: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After Treatment System - Sistema post trattamento, riferito ai gas di scarico prodotti dal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Catalizzatore: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preposto alla depurazione dei gas di scarico.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"Comunità Europea".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Centralina: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vedere "ECU".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Combustione: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Reazione chimica di una miscela composta da un carburante  e un comburente (aria) all'interno di una camera di combustione.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Common Rail: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"Condotto Comune", ad alta pressione che genera una riserva costante di carburante diretta agli iniettori.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Condizioni gravose: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Tipo di condizione estrema riferita all'ambiente di lavoro in cui il motore è utilizzato (aree molto polverose - sporche, o con atmosfera contaminata da vario tipo di gas).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Coppia di serraggio: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Termine indicato per il serraggio dei componenti filettati ed è  determinata tramite unità di misura del Nm.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Dosing Control Unit - Unità di controllo dosaggio, è una centralina preposta al controllo dell'impianto SCR che, in base ai parametri rilevati dai vari sensori, regola il dosaggio del DEF all'interno del catalizzatore SCR.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DEF: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"Diesel Exaust Fluid"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DOC: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Oxidation Catalyst - Catalizzatore per motori diesel, è un abbattitore delle emissioni nocive di gas di scarico prodotte dal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DPF: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Diesel Particulate Filter - Filtro particolato diesel, è un filtro che provvede alla cattura delle particelle di origine carboniosa emesso dai motori diesel.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ECS: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Emission Control System - Sistema di controllo emissioni.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ECU: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"Electronic Control Unit - Unità di controllo elettronico", dispositivo elettronico preposto a rilevare e a controllare elettronicamente altri dispositivi a comando elettronico.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Elettroiniettore: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Componente azionato elettronicamente, atto a iniettare getti di carburante nebulizzato all'interno del cilindro.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EPA: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"Environmental Protection Agency - Agenzia per la protezione dell'ambiente". E' l'ente statunitense per la tutela dell'ambiente, si occupa di regolare e controllare le emissioni inquinanti.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ETB: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Electronic Throttle Body - Valvola a farfalla a controllo elettronico, viene comandata dalla ECU su richiesta del pedale acceleratore, la sua funzione è determinante per la corretta rigenerazione del sistema ATS.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Fig.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Figura.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Galvanizzato: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Materiale che è stato sottoposto al trattamento protettivo delle superfici.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Intercooler: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Elemento di raffreddamento dell'aria in pressione proveniente dal turbo, situato tra la turbina e il collettore di aspirazione.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KDI: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"Kohler Direct Injection - Kohler Iniezione Diretta".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Manutenzione periodica: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MAX: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"Massimo".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Metilestere: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(o esteri metilici), miscela prodotta mediante la conversione chimica degli oli e dei grassi animali e/o vegetali, che serve alla produzione di Biocarburante.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"Minimo"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Min.: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"Minuti"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Model: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"Modello", (targhetta identificazione motore) indica il modello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Officina autorizzata: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Centro assistenza autorizzato Kohler.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Oil Cooler: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Piccolo radiatore che serva a raffreddare l'olio.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Olio esausto: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Olio alterato dal funzionamento o dal tempo, non più conforme per la corretta lubrificazione dei componenti.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Paragrafo.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Paraffina: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Sostanza grassa e solida che potrebbe crearsi all'interno del gasolio.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Poly-V: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"Multipla V", il nome associato alla cinghia dei servizi, deriva dal profilo della sua sezione che è costruito con delle "V" affiancate.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Rif.: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Riferimento.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Selective Catalytic Reduction.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s/n: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"Serial number", (targhetta identificazione motore) indica il "numero di serie/matricola" di identificazione motore.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Spec.: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"Specification", (targhetta identificazione motore) indica la versione motore.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Tab.: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Tabella.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T-MAP: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"T-MAP" (sensore), provvede a misurare la temperatura e la pressione assoluta all'interno del collettore aspirazione.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TCR: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"Turbo Common Rail"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Turbocompressore: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 che comprime aria aspirata inviandola al collettore aspirazione, tramite una turbina.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i/>
                <w:i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</w:rPr>
                    <w:t xml:space="preserve">Valvola Waste-gate:</w:t>
                  </w:r>
                </w:p>
              </w:tc>
              <w:tc>
                <w:tcPr>
                  <w:tcW w:w="0" w:type="auto"/>
                  <w:tcBorders>
                    <w:top w:val="single" w:color="CCCCCC" w:sz="5"/>
                    <w:left w:val="single" w:color="CCCCCC" w:sz="5"/>
                    <w:bottom w:val="single" w:color="CCCCCC" w:sz="5"/>
                    <w:right w:val="single" w:color="CCCCCC" w:sz="5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top"/>
                </w:tcPr>
                <w:p>
                  <w:pPr>
                    <w:widowControl w:val="on"/>
                    <w:pBdr/>
                    <w:spacing w:before="0" w:after="0" w:line="262" w:lineRule="auto"/>
                    <w:ind w:left="0" w:right="0"/>
                    <w:jc w:val="left"/>
                    <w:textAlignment w:val="top"/>
                  </w:pPr>
                  <w:r>
                    <w:rPr>
                      <w:color w:val="00274C"/>
                      <w:position w:val="0"/>
                      <w:sz w:val="20"/>
                      <w:szCs w:val="20"/>
                      <w:u w:val="none"/>
                    </w:rPr>
                    <w:t xml:space="preserve">Dispositivo, a comando diretto o automatico, serve a limitare la pressione dei gas di scarico all'interno della turbina.</w:t>
                  </w:r>
                </w:p>
              </w:tc>
            </w:tr>
          </w:tbl>
          <w:p/>
          <w:p/>
          <w:p/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gridSpan w:val="4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SIMBOLI E UNITÀ DI MISURA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SIMBOLO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UNITÀ DI MISURA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ESEMPIO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α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Angolo di rotazione/inclinazione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quadrato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Area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Circonferenza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Ø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newton-metro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Coppia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Lunghezza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µm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1/1000 di millimetro (micron)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µm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g/kWh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 per chiloWatt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specifico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g/kWh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 per ora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 massima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Lt./min.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minuto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Portata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Lt./min.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Lt./h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litri per ora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Lt./h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parti per milione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Percentuale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newton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Ampere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Intensità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grammo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Peso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gr.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chilogrammo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Watt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W.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kW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kiloWatt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kW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pascal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KPa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Chilopascal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KPa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mbar (1/1000 bar)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pressione barometrica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mbar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alla corrente elettrica (riferito ad un componente)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Ω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ohm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Resistenza della corrente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Ω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giri per minuto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Rotazione di un asse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Rpm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 media espressa in micron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Rugosità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Ra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grado centrigado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1°C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Volt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elettrica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V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4797605" name="name941163b332344d37e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318163b332344d37a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millimetro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Testa vite esagonale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r>
                    <w:rPr>
                      <w:position w:val="1"/>
                    </w:rPr>
                    <w:drawing>
                      <wp:inline distT="0" distB="0" distL="0" distR="0">
                        <wp:extent cx="64800" cy="72000"/>
                        <wp:effectExtent b="0" l="0" r="0" t="0"/>
                        <wp:docPr id="97756540" name="name332663b3323457c9d" descr="eagon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onale.png"/>
                                <pic:cNvPicPr/>
                              </pic:nvPicPr>
                              <pic:blipFill>
                                <a:blip r:embed="rId681063b3323457c9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800" cy="72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1 mm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centimetro cubo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Volume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cm </w:t>
                  </w:r>
                  <w:r>
                    <w:rPr>
                      <w:color w:val="00274C"/>
                      <w:position w:val="3"/>
                      <w:sz w:val="17"/>
                      <w:szCs w:val="17"/>
                      <w:u w:val="none"/>
                      <w:shd w:val="clear" w:color="auto" w:fill="E1E2E0"/>
                      <w:vertAlign w:val="superscript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Lt.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litro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Lt.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325">
    <w:multiLevelType w:val="hybridMultilevel"/>
    <w:lvl w:ilvl="0" w:tplc="93495705">
      <w:start w:val="1"/>
      <w:numFmt w:val="decimal"/>
      <w:lvlText w:val="%1."/>
      <w:lvlJc w:val="left"/>
      <w:pPr>
        <w:ind w:left="720" w:hanging="360"/>
      </w:pPr>
    </w:lvl>
    <w:lvl w:ilvl="1" w:tplc="93495705" w:tentative="1">
      <w:start w:val="1"/>
      <w:numFmt w:val="lowerLetter"/>
      <w:lvlText w:val="%2."/>
      <w:lvlJc w:val="left"/>
      <w:pPr>
        <w:ind w:left="1440" w:hanging="360"/>
      </w:pPr>
    </w:lvl>
    <w:lvl w:ilvl="2" w:tplc="93495705" w:tentative="1">
      <w:start w:val="1"/>
      <w:numFmt w:val="lowerRoman"/>
      <w:lvlText w:val="%3."/>
      <w:lvlJc w:val="right"/>
      <w:pPr>
        <w:ind w:left="2160" w:hanging="180"/>
      </w:pPr>
    </w:lvl>
    <w:lvl w:ilvl="3" w:tplc="93495705" w:tentative="1">
      <w:start w:val="1"/>
      <w:numFmt w:val="decimal"/>
      <w:lvlText w:val="%4."/>
      <w:lvlJc w:val="left"/>
      <w:pPr>
        <w:ind w:left="2880" w:hanging="360"/>
      </w:pPr>
    </w:lvl>
    <w:lvl w:ilvl="4" w:tplc="93495705" w:tentative="1">
      <w:start w:val="1"/>
      <w:numFmt w:val="lowerLetter"/>
      <w:lvlText w:val="%5."/>
      <w:lvlJc w:val="left"/>
      <w:pPr>
        <w:ind w:left="3600" w:hanging="360"/>
      </w:pPr>
    </w:lvl>
    <w:lvl w:ilvl="5" w:tplc="93495705" w:tentative="1">
      <w:start w:val="1"/>
      <w:numFmt w:val="lowerRoman"/>
      <w:lvlText w:val="%6."/>
      <w:lvlJc w:val="right"/>
      <w:pPr>
        <w:ind w:left="4320" w:hanging="180"/>
      </w:pPr>
    </w:lvl>
    <w:lvl w:ilvl="6" w:tplc="93495705" w:tentative="1">
      <w:start w:val="1"/>
      <w:numFmt w:val="decimal"/>
      <w:lvlText w:val="%7."/>
      <w:lvlJc w:val="left"/>
      <w:pPr>
        <w:ind w:left="5040" w:hanging="360"/>
      </w:pPr>
    </w:lvl>
    <w:lvl w:ilvl="7" w:tplc="93495705" w:tentative="1">
      <w:start w:val="1"/>
      <w:numFmt w:val="lowerLetter"/>
      <w:lvlText w:val="%8."/>
      <w:lvlJc w:val="left"/>
      <w:pPr>
        <w:ind w:left="5760" w:hanging="360"/>
      </w:pPr>
    </w:lvl>
    <w:lvl w:ilvl="8" w:tplc="93495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24">
    <w:multiLevelType w:val="hybridMultilevel"/>
    <w:lvl w:ilvl="0" w:tplc="41111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1324">
    <w:abstractNumId w:val="21324"/>
  </w:num>
  <w:num w:numId="21325">
    <w:abstractNumId w:val="21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4816533" Type="http://schemas.openxmlformats.org/officeDocument/2006/relationships/comments" Target="comments.xml"/><Relationship Id="rId526027719" Type="http://schemas.microsoft.com/office/2011/relationships/commentsExtended" Target="commentsExtended.xml"/><Relationship Id="rId19207516" Type="http://schemas.openxmlformats.org/officeDocument/2006/relationships/image" Target="media/imgrId19207516.jpg"/><Relationship Id="rId318163b332344d37a" Type="http://schemas.openxmlformats.org/officeDocument/2006/relationships/image" Target="media/imgrId318163b332344d37a.png"/><Relationship Id="rId681063b3323457c97" Type="http://schemas.openxmlformats.org/officeDocument/2006/relationships/image" Target="media/imgrId681063b3323457c9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207516" Type="http://schemas.openxmlformats.org/officeDocument/2006/relationships/image" Target="media/imgrId192075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