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2504TCR / KDI 2504TCRE5 Workshop Manual (Rev. 17.8)</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923022416"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57100782"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manoff</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36534412" w:name="ctxt"/>
    <w:bookmarkEnd w:id="36534412"/>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Useful information</w:t>
      </w:r>
    </w:p>
    <w:p>
      <w:pPr>
        <w:numPr>
          <w:ilvl w:val="0"/>
          <w:numId w:val="27189"/>
        </w:numPr>
        <w:spacing w:before="0" w:after="0" w:line="240" w:lineRule="auto"/>
        <w:jc w:val="left"/>
        <w:rPr>
          <w:color w:val="00274C"/>
          <w:sz w:val="20"/>
          <w:szCs w:val="20"/>
        </w:rPr>
      </w:pPr>
      <w:r>
        <w:rPr>
          <w:color w:val="00274C"/>
          <w:sz w:val="20"/>
          <w:szCs w:val="20"/>
          <w:u w:val="none"/>
        </w:rPr>
        <w:t xml:space="preserve">This manual contains the instructions needed to carry out  proper use and maintenance of the engine, therefore it must always be available, for future reference when required.</w:t>
      </w:r>
    </w:p>
    <w:p>
      <w:pPr>
        <w:numPr>
          <w:ilvl w:val="0"/>
          <w:numId w:val="27189"/>
        </w:numPr>
        <w:spacing w:before="0" w:after="0" w:line="240" w:lineRule="auto"/>
        <w:jc w:val="left"/>
        <w:rPr>
          <w:color w:val="00274C"/>
          <w:sz w:val="20"/>
          <w:szCs w:val="20"/>
        </w:rPr>
      </w:pPr>
      <w:bookmarkStart w:id="36925427" w:name="result_box"/>
      <w:bookmarkEnd w:id="36925427"/>
      <w:r>
        <w:rPr>
          <w:color w:val="00274C"/>
          <w:sz w:val="20"/>
          <w:szCs w:val="20"/>
          <w:u w:val="none"/>
        </w:rPr>
        <w:t xml:space="preserve">Information,</w:t>
      </w:r>
      <w:r>
        <w:rPr>
          <w:color w:val="00274C"/>
          <w:sz w:val="20"/>
          <w:szCs w:val="20"/>
          <w:u w:val="none"/>
        </w:rPr>
        <w:t xml:space="preserve"> </w:t>
      </w:r>
      <w:r>
        <w:rPr>
          <w:color w:val="00274C"/>
          <w:sz w:val="20"/>
          <w:szCs w:val="20"/>
          <w:u w:val="none"/>
        </w:rPr>
        <w:t xml:space="preserve">descriptions and pictures</w:t>
      </w:r>
      <w:r>
        <w:rPr>
          <w:color w:val="00274C"/>
          <w:sz w:val="20"/>
          <w:szCs w:val="20"/>
          <w:u w:val="none"/>
        </w:rPr>
        <w:t xml:space="preserve"> </w:t>
      </w:r>
      <w:r>
        <w:rPr>
          <w:color w:val="00274C"/>
          <w:sz w:val="20"/>
          <w:szCs w:val="20"/>
          <w:u w:val="none"/>
        </w:rPr>
        <w:t xml:space="preserve">contained</w:t>
      </w:r>
      <w:r>
        <w:rPr>
          <w:color w:val="00274C"/>
          <w:sz w:val="20"/>
          <w:szCs w:val="20"/>
          <w:u w:val="none"/>
        </w:rPr>
        <w:t xml:space="preserve"> </w:t>
      </w:r>
      <w:r>
        <w:rPr>
          <w:color w:val="00274C"/>
          <w:sz w:val="20"/>
          <w:szCs w:val="20"/>
          <w:u w:val="none"/>
        </w:rPr>
        <w:t xml:space="preserve">in this manual reflect</w:t>
      </w:r>
      <w:r>
        <w:rPr>
          <w:color w:val="00274C"/>
          <w:sz w:val="20"/>
          <w:szCs w:val="20"/>
          <w:u w:val="none"/>
        </w:rPr>
        <w:t xml:space="preserve"> </w:t>
      </w:r>
      <w:r>
        <w:rPr>
          <w:color w:val="00274C"/>
          <w:sz w:val="20"/>
          <w:szCs w:val="20"/>
          <w:u w:val="none"/>
        </w:rPr>
        <w:t xml:space="preserve">the basic configuration</w:t>
      </w:r>
      <w:r>
        <w:rPr>
          <w:color w:val="00274C"/>
          <w:sz w:val="20"/>
          <w:szCs w:val="20"/>
          <w:u w:val="none"/>
        </w:rPr>
        <w:t xml:space="preserve"> </w:t>
      </w:r>
      <w:r>
        <w:rPr>
          <w:color w:val="00274C"/>
          <w:sz w:val="20"/>
          <w:szCs w:val="20"/>
          <w:u w:val="none"/>
        </w:rPr>
        <w:t xml:space="preserve">of the engines</w:t>
      </w:r>
      <w:r>
        <w:rPr>
          <w:color w:val="00274C"/>
          <w:sz w:val="20"/>
          <w:szCs w:val="20"/>
          <w:u w:val="none"/>
        </w:rPr>
        <w:t xml:space="preserve"> ( </w:t>
      </w:r>
      <w:hyperlink r:id="rId9836641c98fdd2c8b" w:history="1">
        <w:r>
          <w:rPr>
            <w:rStyle w:val="DefaultParagraphFontPHPDOCX"/>
            <w:b/>
            <w:bCs/>
            <w:color w:val="0000FF"/>
            <w:sz w:val="20"/>
            <w:szCs w:val="20"/>
            <w:u w:val="single" w:color=""/>
          </w:rPr>
          <w:t xml:space="preserve">Par. 1.4</w:t>
        </w:r>
      </w:hyperlink>
      <w:r>
        <w:rPr>
          <w:color w:val="00274C"/>
          <w:sz w:val="20"/>
          <w:szCs w:val="20"/>
          <w:u w:val="none"/>
        </w:rPr>
        <w:t xml:space="preserve"> and </w:t>
      </w:r>
      <w:hyperlink r:id="rId4282641c98fdd2e26" w:history="1">
        <w:r>
          <w:rPr>
            <w:rStyle w:val="DefaultParagraphFontPHPDOCX"/>
            <w:b/>
            <w:bCs/>
            <w:color w:val="0000FF"/>
            <w:sz w:val="20"/>
            <w:szCs w:val="20"/>
            <w:u w:val="single" w:color=""/>
          </w:rPr>
          <w:t xml:space="preserve">Par. 1.5</w:t>
        </w:r>
      </w:hyperlink>
      <w:r>
        <w:rPr>
          <w:color w:val="00274C"/>
          <w:sz w:val="20"/>
          <w:szCs w:val="20"/>
          <w:u w:val="none"/>
        </w:rPr>
        <w:t xml:space="preserve"> ).</w:t>
      </w:r>
    </w:p>
    <w:p>
      <w:pPr>
        <w:numPr>
          <w:ilvl w:val="0"/>
          <w:numId w:val="27189"/>
        </w:numPr>
        <w:spacing w:before="0" w:after="0" w:line="240" w:lineRule="auto"/>
        <w:jc w:val="left"/>
        <w:rPr>
          <w:color w:val="00274C"/>
          <w:sz w:val="20"/>
          <w:szCs w:val="20"/>
        </w:rPr>
      </w:pPr>
      <w:r>
        <w:rPr>
          <w:color w:val="00274C"/>
          <w:sz w:val="20"/>
          <w:szCs w:val="20"/>
          <w:u w:val="none"/>
        </w:rPr>
        <w:t xml:space="preserve">However, the development of engines is continuous. Therefore, the information in this manual is subject to change without notice.</w:t>
      </w:r>
    </w:p>
    <w:p>
      <w:pPr>
        <w:numPr>
          <w:ilvl w:val="0"/>
          <w:numId w:val="27189"/>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reserves the right to make, at any time, changes on the engines for technical or commercial reasons.</w:t>
      </w:r>
    </w:p>
    <w:p>
      <w:pPr>
        <w:numPr>
          <w:ilvl w:val="0"/>
          <w:numId w:val="27189"/>
        </w:numPr>
        <w:spacing w:before="0" w:after="0" w:line="240" w:lineRule="auto"/>
        <w:jc w:val="left"/>
        <w:rPr>
          <w:color w:val="00274C"/>
          <w:sz w:val="20"/>
          <w:szCs w:val="20"/>
        </w:rPr>
      </w:pPr>
      <w:r>
        <w:rPr>
          <w:color w:val="00274C"/>
          <w:sz w:val="20"/>
          <w:szCs w:val="20"/>
          <w:u w:val="none"/>
        </w:rPr>
        <w:t xml:space="preserve">These changes do not require </w:t>
      </w:r>
      <w:r>
        <w:rPr>
          <w:b/>
          <w:bCs/>
          <w:color w:val="00274C"/>
          <w:sz w:val="20"/>
          <w:szCs w:val="20"/>
          <w:u w:val="none"/>
        </w:rPr>
        <w:t xml:space="preserve">KOHLER</w:t>
      </w:r>
      <w:r>
        <w:rPr>
          <w:color w:val="00274C"/>
          <w:sz w:val="20"/>
          <w:szCs w:val="20"/>
          <w:u w:val="none"/>
        </w:rPr>
        <w:t xml:space="preserve"> to intervene on the production marketed up to that time and nor to consider this manual as inappropriate.</w:t>
      </w:r>
    </w:p>
    <w:p>
      <w:pPr>
        <w:numPr>
          <w:ilvl w:val="0"/>
          <w:numId w:val="27189"/>
        </w:numPr>
        <w:spacing w:before="0" w:after="0" w:line="240" w:lineRule="auto"/>
        <w:jc w:val="left"/>
        <w:rPr>
          <w:color w:val="00274C"/>
          <w:sz w:val="20"/>
          <w:szCs w:val="20"/>
        </w:rPr>
      </w:pPr>
      <w:r>
        <w:rPr>
          <w:color w:val="00274C"/>
          <w:sz w:val="20"/>
          <w:szCs w:val="20"/>
          <w:u w:val="none"/>
        </w:rPr>
        <w:t xml:space="preserve">The paragraphs, tables and figures are numbered by chapter and followed by the progressive paragraph, table and/or figure number.</w:t>
      </w:r>
    </w:p>
    <w:p>
      <w:pPr>
        <w:widowControl w:val="on"/>
        <w:pBdr/>
        <w:spacing w:before="0" w:after="0" w:line="262" w:lineRule="auto"/>
        <w:ind w:left="0" w:right="0"/>
        <w:jc w:val="left"/>
      </w:pPr>
      <w:r>
        <w:rPr>
          <w:color w:val="00274C"/>
          <w:sz w:val="20"/>
          <w:szCs w:val="20"/>
          <w:u w:val="none"/>
        </w:rPr>
        <w:t xml:space="preserve">Es: </w:t>
      </w:r>
      <w:r>
        <w:rPr>
          <w:b/>
          <w:bCs/>
          <w:color w:val="00274C"/>
          <w:sz w:val="20"/>
          <w:szCs w:val="20"/>
          <w:u w:val="none"/>
        </w:rPr>
        <w:t xml:space="preserve">Par. 1.3</w:t>
      </w:r>
      <w:r>
        <w:rPr>
          <w:color w:val="00274C"/>
          <w:sz w:val="20"/>
          <w:szCs w:val="20"/>
          <w:u w:val="none"/>
        </w:rPr>
        <w:t xml:space="preserve"> - chapter </w:t>
      </w:r>
      <w:r>
        <w:rPr>
          <w:b/>
          <w:bCs/>
          <w:color w:val="00274C"/>
          <w:sz w:val="20"/>
          <w:szCs w:val="20"/>
          <w:u w:val="none"/>
        </w:rPr>
        <w:t xml:space="preserve">1</w:t>
      </w:r>
      <w:r>
        <w:rPr>
          <w:color w:val="00274C"/>
          <w:sz w:val="20"/>
          <w:szCs w:val="20"/>
          <w:u w:val="none"/>
        </w:rPr>
        <w:t xml:space="preserve"> paragraph </w:t>
      </w:r>
      <w:r>
        <w:rPr>
          <w:b/>
          <w:bCs/>
          <w:color w:val="00274C"/>
          <w:sz w:val="20"/>
          <w:szCs w:val="20"/>
          <w:u w:val="none"/>
        </w:rPr>
        <w:t xml:space="preserve">3</w:t>
      </w:r>
      <w:r>
        <w:rPr>
          <w:color w:val="00274C"/>
          <w:sz w:val="20"/>
          <w:szCs w:val="20"/>
          <w:u w:val="none"/>
        </w:rPr>
        <w:t xml:space="preserve"> .</w:t>
      </w:r>
      <w:r>
        <w:rPr>
          <w:b/>
          <w:bCs/>
          <w:color w:val="00274C"/>
          <w:sz w:val="20"/>
          <w:szCs w:val="20"/>
          <w:u w:val="none"/>
        </w:rPr>
        <w:br/>
        <w:t xml:space="preserve">Tab. 2.4</w:t>
      </w:r>
      <w:r>
        <w:rPr>
          <w:color w:val="00274C"/>
          <w:sz w:val="20"/>
          <w:szCs w:val="20"/>
          <w:u w:val="none"/>
        </w:rPr>
        <w:t xml:space="preserve"> - chapter </w:t>
      </w:r>
      <w:r>
        <w:rPr>
          <w:b/>
          <w:bCs/>
          <w:color w:val="00274C"/>
          <w:sz w:val="20"/>
          <w:szCs w:val="20"/>
          <w:u w:val="none"/>
        </w:rPr>
        <w:t xml:space="preserve">2</w:t>
      </w:r>
      <w:r>
        <w:rPr>
          <w:color w:val="00274C"/>
          <w:sz w:val="20"/>
          <w:szCs w:val="20"/>
          <w:u w:val="none"/>
        </w:rPr>
        <w:t xml:space="preserve"> table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Fig. 4.5</w:t>
      </w:r>
      <w:r>
        <w:rPr>
          <w:color w:val="00274C"/>
          <w:sz w:val="20"/>
          <w:szCs w:val="20"/>
          <w:u w:val="none"/>
        </w:rPr>
        <w:t xml:space="preserve"> - chapter </w:t>
      </w:r>
      <w:r>
        <w:rPr>
          <w:b/>
          <w:bCs/>
          <w:color w:val="00274C"/>
          <w:sz w:val="20"/>
          <w:szCs w:val="20"/>
          <w:u w:val="none"/>
        </w:rPr>
        <w:t xml:space="preserve">4</w:t>
      </w:r>
      <w:r>
        <w:rPr>
          <w:color w:val="00274C"/>
          <w:sz w:val="20"/>
          <w:szCs w:val="20"/>
          <w:u w:val="none"/>
        </w:rPr>
        <w:t xml:space="preserve"> figure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NOTE:</w:t>
      </w:r>
      <w:r>
        <w:rPr>
          <w:color w:val="00274C"/>
          <w:sz w:val="20"/>
          <w:szCs w:val="20"/>
          <w:u w:val="none"/>
        </w:rPr>
        <w:t xml:space="preserve"> The paragraphs may contain sub-paragraphs.</w:t>
      </w:r>
    </w:p>
    <w:p>
      <w:pPr>
        <w:widowControl w:val="on"/>
        <w:pBdr/>
        <w:spacing w:before="0" w:after="0" w:line="262" w:lineRule="auto"/>
        <w:ind w:left="0" w:right="0"/>
        <w:jc w:val="left"/>
      </w:pPr>
      <w:r>
        <w:rPr>
          <w:color w:val="00274C"/>
          <w:sz w:val="20"/>
          <w:szCs w:val="20"/>
          <w:u w:val="none"/>
        </w:rPr>
        <w:t xml:space="preserve"> </w:t>
      </w:r>
    </w:p>
    <w:p>
      <w:pPr>
        <w:numPr>
          <w:ilvl w:val="0"/>
          <w:numId w:val="27189"/>
        </w:numPr>
        <w:spacing w:before="0" w:after="0" w:line="240" w:lineRule="auto"/>
        <w:jc w:val="left"/>
        <w:rPr>
          <w:color w:val="00274C"/>
          <w:sz w:val="20"/>
          <w:szCs w:val="20"/>
        </w:rPr>
      </w:pPr>
      <w:r>
        <w:rPr>
          <w:color w:val="00274C"/>
          <w:sz w:val="20"/>
          <w:szCs w:val="20"/>
          <w:u w:val="none"/>
        </w:rPr>
        <w:t xml:space="preserve">All technical terms, specific components and symbols ( </w:t>
      </w:r>
      <w:hyperlink r:id="rId9846641c98fdd4c3b" w:history="1">
        <w:r>
          <w:rPr>
            <w:rStyle w:val="DefaultParagraphFontPHPDOCX"/>
            <w:b/>
            <w:bCs/>
            <w:color w:val="0000FF"/>
            <w:sz w:val="20"/>
            <w:szCs w:val="20"/>
            <w:u w:val="single" w:color=""/>
          </w:rPr>
          <w:t xml:space="preserve">Tab. 15.1</w:t>
        </w:r>
      </w:hyperlink>
      <w:r>
        <w:rPr>
          <w:color w:val="00274C"/>
          <w:sz w:val="20"/>
          <w:szCs w:val="20"/>
          <w:u w:val="none"/>
        </w:rPr>
        <w:t xml:space="preserve"> ) that are in the manual are listed and described inside the glossary, which can be consulted in ( </w:t>
      </w:r>
      <w:hyperlink r:id="rId9561641c98fdd4dd1" w:history="1">
        <w:r>
          <w:rPr>
            <w:rStyle w:val="DefaultParagraphFontPHPDOCX"/>
            <w:b/>
            <w:bCs/>
            <w:color w:val="0000FF"/>
            <w:sz w:val="20"/>
            <w:szCs w:val="20"/>
            <w:u w:val="single" w:color=""/>
          </w:rPr>
          <w:t xml:space="preserve">Chap. 15</w:t>
        </w:r>
      </w:hyperlink>
      <w:r>
        <w:rPr>
          <w:color w:val="00274C"/>
          <w:sz w:val="20"/>
          <w:szCs w:val="20"/>
          <w:u w:val="none"/>
        </w:rPr>
        <w:t xml:space="preserve"> ).</w:t>
      </w:r>
    </w:p>
    <w:p>
      <w:pPr>
        <w:numPr>
          <w:ilvl w:val="0"/>
          <w:numId w:val="27189"/>
        </w:numPr>
        <w:spacing w:before="0" w:after="0" w:line="240" w:lineRule="auto"/>
        <w:jc w:val="left"/>
        <w:rPr>
          <w:color w:val="00274C"/>
          <w:sz w:val="20"/>
          <w:szCs w:val="20"/>
        </w:rPr>
      </w:pPr>
      <w:r>
        <w:rPr>
          <w:color w:val="00274C"/>
          <w:sz w:val="20"/>
          <w:szCs w:val="20"/>
          <w:u w:val="none"/>
        </w:rPr>
        <w:t xml:space="preserve">The references of the objects described in the text and in the figure are indicated by letters and numbers, which are always and only related to the paragraph you are reading unless there are specific references to other figures or paragraphs.</w:t>
      </w:r>
    </w:p>
    <w:p>
      <w:pPr>
        <w:numPr>
          <w:ilvl w:val="0"/>
          <w:numId w:val="27189"/>
        </w:numPr>
        <w:spacing w:before="0" w:after="0" w:line="240" w:lineRule="auto"/>
        <w:jc w:val="left"/>
        <w:rPr>
          <w:color w:val="00274C"/>
          <w:sz w:val="20"/>
          <w:szCs w:val="20"/>
        </w:rPr>
      </w:pPr>
      <w:r>
        <w:rPr>
          <w:color w:val="00274C"/>
          <w:sz w:val="20"/>
          <w:szCs w:val="20"/>
          <w:u w:val="none"/>
        </w:rPr>
        <w:t xml:space="preserve">Reference to values are indicated by letters or numbers. </w:t>
      </w:r>
    </w:p>
    <w:p>
      <w:pPr>
        <w:numPr>
          <w:ilvl w:val="0"/>
          <w:numId w:val="27189"/>
        </w:numPr>
        <w:spacing w:before="0" w:after="0" w:line="240" w:lineRule="auto"/>
        <w:jc w:val="left"/>
        <w:rPr>
          <w:color w:val="00274C"/>
          <w:sz w:val="20"/>
          <w:szCs w:val="20"/>
        </w:rPr>
      </w:pPr>
      <w:r>
        <w:rPr>
          <w:color w:val="00274C"/>
          <w:sz w:val="20"/>
          <w:szCs w:val="20"/>
          <w:u w:val="none"/>
        </w:rPr>
        <w:br/>
        <w:t xml:space="preserve">The mark ( </w:t>
      </w:r>
      <w:r>
        <w:drawing>
          <wp:inline distT="0" distB="0" distL="0" distR="0">
            <wp:extent cx="158400" cy="115200"/>
            <wp:effectExtent b="0" l="0" r="0" t="0"/>
            <wp:docPr id="68061781" name="name6193641c98fdda39e" descr="operazione_ut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razione_utile.gif"/>
                    <pic:cNvPicPr/>
                  </pic:nvPicPr>
                  <pic:blipFill>
                    <a:blip r:embed="rId4786641c98fdda39a" cstate="print"/>
                    <a:stretch>
                      <a:fillRect/>
                    </a:stretch>
                  </pic:blipFill>
                  <pic:spPr>
                    <a:xfrm>
                      <a:off x="0" y="0"/>
                      <a:ext cx="158400" cy="115200"/>
                    </a:xfrm>
                    <a:prstGeom prst="rect">
                      <a:avLst/>
                    </a:prstGeom>
                    <a:ln w="0">
                      <a:noFill/>
                    </a:ln>
                  </pic:spPr>
                </pic:pic>
              </a:graphicData>
            </a:graphic>
          </wp:inline>
        </w:drawing>
      </w:r>
      <w:r>
        <w:rPr>
          <w:color w:val="00274C"/>
          <w:sz w:val="20"/>
          <w:szCs w:val="20"/>
          <w:u w:val="none"/>
        </w:rPr>
        <w:t xml:space="preserve"> ) after the title of a paragraph, indicates that the procedure is not required in order to disassemble the engine, however the procedures are featured in order to illustrate the disassembly of components.</w:t>
      </w:r>
    </w:p>
    <w:p>
      <w:pPr>
        <w:numPr>
          <w:ilvl w:val="0"/>
          <w:numId w:val="27189"/>
        </w:numPr>
        <w:spacing w:before="0" w:after="0" w:line="240" w:lineRule="auto"/>
        <w:jc w:val="left"/>
        <w:rPr>
          <w:color w:val="00274C"/>
          <w:sz w:val="20"/>
          <w:szCs w:val="20"/>
        </w:rPr>
      </w:pPr>
      <w:r>
        <w:rPr>
          <w:color w:val="00274C"/>
          <w:sz w:val="20"/>
          <w:szCs w:val="20"/>
          <w:u w:val="none"/>
        </w:rPr>
        <w:t xml:space="preserve">Any additional section that </w:t>
      </w:r>
      <w:r>
        <w:rPr>
          <w:b/>
          <w:bCs/>
          <w:color w:val="00274C"/>
          <w:sz w:val="20"/>
          <w:szCs w:val="20"/>
          <w:u w:val="none"/>
        </w:rPr>
        <w:t xml:space="preserve">KOHLER</w:t>
      </w:r>
      <w:r>
        <w:rPr>
          <w:color w:val="00274C"/>
          <w:sz w:val="20"/>
          <w:szCs w:val="20"/>
          <w:u w:val="none"/>
        </w:rPr>
        <w:t xml:space="preserve"> will deem necessary to supply at a later stage must be kept with the manual and considered as an integral part of it.</w:t>
      </w:r>
    </w:p>
    <w:p>
      <w:pPr>
        <w:numPr>
          <w:ilvl w:val="0"/>
          <w:numId w:val="27189"/>
        </w:numPr>
        <w:spacing w:before="0" w:after="0" w:line="240" w:lineRule="auto"/>
        <w:jc w:val="left"/>
        <w:rPr>
          <w:color w:val="00274C"/>
          <w:sz w:val="20"/>
          <w:szCs w:val="20"/>
        </w:rPr>
      </w:pPr>
      <w:r>
        <w:rPr>
          <w:color w:val="00274C"/>
          <w:sz w:val="20"/>
          <w:szCs w:val="20"/>
          <w:u w:val="none"/>
        </w:rPr>
        <w:t xml:space="preserve">The information contained in this manual is the sole property of </w:t>
      </w:r>
      <w:r>
        <w:rPr>
          <w:b/>
          <w:bCs/>
          <w:color w:val="00274C"/>
          <w:sz w:val="20"/>
          <w:szCs w:val="20"/>
          <w:u w:val="none"/>
        </w:rPr>
        <w:t xml:space="preserve">KOHLER</w:t>
      </w:r>
      <w:r>
        <w:rPr>
          <w:color w:val="00274C"/>
          <w:sz w:val="20"/>
          <w:szCs w:val="20"/>
          <w:u w:val="none"/>
        </w:rPr>
        <w:t xml:space="preserve"> , therefore no partial or total reproduction or replication is allowed without the express permission of </w:t>
      </w:r>
      <w:r>
        <w:rPr>
          <w:b/>
          <w:bCs/>
          <w:color w:val="00274C"/>
          <w:sz w:val="20"/>
          <w:szCs w:val="20"/>
          <w:u w:val="none"/>
        </w:rPr>
        <w:t xml:space="preserve">KOHLER</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1.1.1</w:t>
      </w:r>
      <w:r>
        <w:rPr>
          <w:color w:val="00274C"/>
          <w:sz w:val="20"/>
          <w:szCs w:val="20"/>
          <w:u w:val="none"/>
        </w:rPr>
        <w:t xml:space="preserve"> </w:t>
      </w:r>
      <w:bookmarkStart w:id="57448663" w:name="result_box"/>
      <w:bookmarkEnd w:id="57448663"/>
      <w:r>
        <w:rPr>
          <w:b/>
          <w:bCs/>
          <w:color w:val="00274C"/>
          <w:sz w:val="20"/>
          <w:szCs w:val="20"/>
          <w:u w:val="none"/>
        </w:rPr>
        <w:t xml:space="preserve">Useful Information</w:t>
      </w:r>
      <w:r>
        <w:rPr>
          <w:b/>
          <w:bCs/>
          <w:color w:val="00274C"/>
          <w:sz w:val="20"/>
          <w:szCs w:val="20"/>
          <w:u w:val="none"/>
        </w:rPr>
        <w:t xml:space="preserve"> -</w:t>
      </w:r>
      <w:r>
        <w:rPr>
          <w:color w:val="00274C"/>
          <w:sz w:val="20"/>
          <w:szCs w:val="20"/>
          <w:u w:val="none"/>
        </w:rPr>
        <w:t xml:space="preserve"> </w:t>
      </w:r>
      <w:bookmarkStart w:id="64009628" w:name="result_box"/>
      <w:bookmarkEnd w:id="64009628"/>
      <w:r>
        <w:rPr>
          <w:b/>
          <w:bCs/>
          <w:color w:val="00274C"/>
          <w:sz w:val="20"/>
          <w:szCs w:val="20"/>
          <w:u w:val="none"/>
        </w:rPr>
        <w:t xml:space="preserve">accident prevention</w:t>
      </w:r>
      <w:r>
        <w:rPr>
          <w:b/>
          <w:bCs/>
          <w:color w:val="00274C"/>
          <w:sz w:val="20"/>
          <w:szCs w:val="20"/>
          <w:u w:val="none"/>
        </w:rPr>
        <w:t xml:space="preserve"> -</w:t>
      </w:r>
      <w:r>
        <w:rPr>
          <w:color w:val="00274C"/>
          <w:sz w:val="20"/>
          <w:szCs w:val="20"/>
          <w:u w:val="none"/>
        </w:rPr>
        <w:t xml:space="preserve"> </w:t>
      </w:r>
      <w:bookmarkStart w:id="73410067" w:name="result_box"/>
      <w:bookmarkEnd w:id="73410067"/>
      <w:r>
        <w:rPr>
          <w:b/>
          <w:bCs/>
          <w:color w:val="00274C"/>
          <w:sz w:val="20"/>
          <w:szCs w:val="20"/>
          <w:u w:val="none"/>
        </w:rPr>
        <w:t xml:space="preserve">environmental impact</w:t>
      </w:r>
    </w:p>
    <w:p>
      <w:pPr>
        <w:widowControl w:val="on"/>
        <w:pBdr/>
        <w:spacing w:before="0" w:after="0" w:line="262" w:lineRule="auto"/>
        <w:ind w:left="0" w:right="0"/>
        <w:jc w:val="left"/>
      </w:pPr>
      <w:r>
        <w:rPr>
          <w:color w:val="00274C"/>
          <w:sz w:val="20"/>
          <w:szCs w:val="20"/>
          <w:u w:val="none"/>
        </w:rPr>
        <w:t xml:space="preserve"> </w:t>
      </w:r>
    </w:p>
    <w:p>
      <w:pPr>
        <w:numPr>
          <w:ilvl w:val="0"/>
          <w:numId w:val="27189"/>
        </w:numPr>
        <w:spacing w:before="0" w:after="0" w:line="240" w:lineRule="auto"/>
        <w:jc w:val="left"/>
        <w:rPr>
          <w:color w:val="00274C"/>
          <w:sz w:val="20"/>
          <w:szCs w:val="20"/>
        </w:rPr>
      </w:pPr>
      <w:bookmarkStart w:id="68763768" w:name="result_box"/>
      <w:bookmarkEnd w:id="68763768"/>
      <w:r>
        <w:rPr>
          <w:color w:val="00274C"/>
          <w:sz w:val="20"/>
          <w:szCs w:val="20"/>
          <w:u w:val="none"/>
        </w:rPr>
        <w:t xml:space="preserve">Before proceeding</w:t>
      </w:r>
      <w:r>
        <w:rPr>
          <w:color w:val="00274C"/>
          <w:sz w:val="20"/>
          <w:szCs w:val="20"/>
          <w:u w:val="none"/>
        </w:rPr>
        <w:t xml:space="preserve"> </w:t>
      </w:r>
      <w:r>
        <w:rPr>
          <w:color w:val="00274C"/>
          <w:sz w:val="20"/>
          <w:szCs w:val="20"/>
          <w:u w:val="none"/>
        </w:rPr>
        <w:t xml:space="preserve">repair</w:t>
      </w:r>
      <w:r>
        <w:rPr>
          <w:color w:val="00274C"/>
          <w:sz w:val="20"/>
          <w:szCs w:val="20"/>
          <w:u w:val="none"/>
        </w:rPr>
        <w:t xml:space="preserve"> </w:t>
      </w:r>
      <w:r>
        <w:rPr>
          <w:color w:val="00274C"/>
          <w:sz w:val="20"/>
          <w:szCs w:val="20"/>
          <w:u w:val="none"/>
        </w:rPr>
        <w:t xml:space="preserve">-</w:t>
      </w:r>
      <w:r>
        <w:rPr>
          <w:color w:val="00274C"/>
          <w:sz w:val="20"/>
          <w:szCs w:val="20"/>
          <w:u w:val="none"/>
        </w:rPr>
        <w:t xml:space="preserve"> </w:t>
      </w:r>
      <w:r>
        <w:rPr>
          <w:color w:val="00274C"/>
          <w:sz w:val="20"/>
          <w:szCs w:val="20"/>
          <w:u w:val="none"/>
        </w:rPr>
        <w:t xml:space="preserve">handling</w:t>
      </w:r>
      <w:r>
        <w:rPr>
          <w:color w:val="00274C"/>
          <w:sz w:val="20"/>
          <w:szCs w:val="20"/>
          <w:u w:val="none"/>
        </w:rPr>
        <w:t xml:space="preserve"> </w:t>
      </w:r>
      <w:r>
        <w:rPr>
          <w:color w:val="00274C"/>
          <w:sz w:val="20"/>
          <w:szCs w:val="20"/>
          <w:u w:val="none"/>
        </w:rPr>
        <w:t xml:space="preserve">the motor</w:t>
      </w:r>
      <w:r>
        <w:rPr>
          <w:color w:val="00274C"/>
          <w:sz w:val="20"/>
          <w:szCs w:val="20"/>
          <w:u w:val="none"/>
        </w:rPr>
        <w:t xml:space="preserve"> , </w:t>
      </w:r>
      <w:r>
        <w:rPr>
          <w:color w:val="00274C"/>
          <w:sz w:val="20"/>
          <w:szCs w:val="20"/>
          <w:u w:val="none"/>
        </w:rPr>
        <w:t xml:space="preserve">read the entire</w:t>
      </w:r>
      <w:r>
        <w:rPr>
          <w:color w:val="00274C"/>
          <w:sz w:val="20"/>
          <w:szCs w:val="20"/>
          <w:u w:val="none"/>
        </w:rPr>
        <w:t xml:space="preserve"> </w:t>
      </w:r>
      <w:r>
        <w:rPr>
          <w:color w:val="00274C"/>
          <w:sz w:val="20"/>
          <w:szCs w:val="20"/>
          <w:u w:val="none"/>
        </w:rPr>
        <w:t xml:space="preserve">chapter</w:t>
      </w:r>
      <w:r>
        <w:rPr>
          <w:color w:val="00274C"/>
          <w:sz w:val="20"/>
          <w:szCs w:val="20"/>
          <w:u w:val="none"/>
        </w:rPr>
        <w:t xml:space="preserve"> </w:t>
      </w:r>
      <w:r>
        <w:rPr>
          <w:color w:val="00274C"/>
          <w:sz w:val="20"/>
          <w:szCs w:val="20"/>
          <w:u w:val="none"/>
        </w:rPr>
        <w:t xml:space="preserve">3, which</w:t>
      </w:r>
      <w:r>
        <w:rPr>
          <w:color w:val="00274C"/>
          <w:sz w:val="20"/>
          <w:szCs w:val="20"/>
          <w:u w:val="none"/>
        </w:rPr>
        <w:t xml:space="preserve"> </w:t>
      </w:r>
      <w:r>
        <w:rPr>
          <w:color w:val="00274C"/>
          <w:sz w:val="20"/>
          <w:szCs w:val="20"/>
          <w:u w:val="none"/>
        </w:rPr>
        <w:t xml:space="preserve">contains important</w:t>
      </w:r>
      <w:r>
        <w:rPr>
          <w:color w:val="00274C"/>
          <w:sz w:val="20"/>
          <w:szCs w:val="20"/>
          <w:u w:val="none"/>
        </w:rPr>
        <w:t xml:space="preserve"> </w:t>
      </w:r>
      <w:r>
        <w:rPr>
          <w:color w:val="00274C"/>
          <w:sz w:val="20"/>
          <w:szCs w:val="20"/>
          <w:u w:val="none"/>
        </w:rPr>
        <w:t xml:space="preserve">information about the procedures</w:t>
      </w:r>
      <w:r>
        <w:rPr>
          <w:color w:val="00274C"/>
          <w:sz w:val="20"/>
          <w:szCs w:val="20"/>
          <w:u w:val="none"/>
        </w:rPr>
        <w:t xml:space="preserve"> </w:t>
      </w:r>
      <w:r>
        <w:rPr>
          <w:color w:val="00274C"/>
          <w:sz w:val="20"/>
          <w:szCs w:val="20"/>
          <w:u w:val="none"/>
        </w:rPr>
        <w:t xml:space="preserve">to be followed for</w:t>
      </w:r>
      <w:r>
        <w:rPr>
          <w:color w:val="00274C"/>
          <w:sz w:val="20"/>
          <w:szCs w:val="20"/>
          <w:u w:val="none"/>
        </w:rPr>
        <w:t xml:space="preserve"> </w:t>
      </w:r>
      <w:r>
        <w:rPr>
          <w:color w:val="00274C"/>
          <w:sz w:val="20"/>
          <w:szCs w:val="20"/>
          <w:u w:val="none"/>
        </w:rPr>
        <w:t xml:space="preserve">safety</w:t>
      </w:r>
      <w:r>
        <w:rPr>
          <w:color w:val="00274C"/>
          <w:sz w:val="20"/>
          <w:szCs w:val="20"/>
          <w:u w:val="none"/>
        </w:rPr>
        <w:t xml:space="preserve"> </w:t>
      </w:r>
      <w:r>
        <w:rPr>
          <w:color w:val="00274C"/>
          <w:sz w:val="20"/>
          <w:szCs w:val="20"/>
          <w:u w:val="none"/>
        </w:rPr>
        <w:t xml:space="preserve">and environment</w:t>
      </w: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p>
      <w:pPr>
        <w:widowControl w:val="on"/>
        <w:pBdr/>
        <w:spacing w:before="0" w:after="0" w:line="262" w:lineRule="auto"/>
        <w:ind w:left="0" w:right="0"/>
        <w:jc w:val="left"/>
      </w:pPr>
      <w:r>
        <w:rPr>
          <w:color w:val="00274C"/>
          <w:sz w:val="20"/>
          <w:szCs w:val="20"/>
          <w:u w:val="none"/>
        </w:rPr>
        <w:t xml:space="preserve">The engine identification name plate is situated in the lower part of the crankcase; it is visible from the intake or exhaust side.</w:t>
      </w:r>
    </w:p>
    <w:p>
      <w:pPr>
        <w:widowControl w:val="on"/>
        <w:pBdr/>
        <w:spacing w:before="225" w:after="225" w:line="262" w:lineRule="auto"/>
        <w:ind w:left="0" w:right="0"/>
        <w:jc w:val="left"/>
      </w:pPr>
      <w:r>
        <w:drawing>
          <wp:inline distT="0" distB="0" distL="0" distR="0">
            <wp:extent cx="4932000" cy="2772000"/>
            <wp:effectExtent b="0" l="0" r="0" t="0"/>
            <wp:docPr id="67480100" name="name4542641c98fde725b" descr="img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1.jpg"/>
                    <pic:cNvPicPr/>
                  </pic:nvPicPr>
                  <pic:blipFill>
                    <a:blip r:embed="rId2371641c98fde7257" cstate="print"/>
                    <a:stretch>
                      <a:fillRect/>
                    </a:stretch>
                  </pic:blipFill>
                  <pic:spPr>
                    <a:xfrm>
                      <a:off x="0" y="0"/>
                      <a:ext cx="4932000" cy="2772000"/>
                    </a:xfrm>
                    <a:prstGeom prst="rect">
                      <a:avLst/>
                    </a:prstGeom>
                    <a:ln w="0">
                      <a:noFill/>
                    </a:ln>
                  </pic:spPr>
                </pic:pic>
              </a:graphicData>
            </a:graphic>
          </wp:inline>
        </w:drawing>
      </w:r>
      <w:r>
        <w:rPr>
          <w:b/>
          <w:bCs/>
          <w:color w:val="00274C"/>
          <w:sz w:val="20"/>
          <w:szCs w:val="20"/>
          <w:u w:val="none"/>
        </w:rPr>
        <w:br/>
        <w:br/>
        <w:t xml:space="preserve">Fig 1.1</w:t>
      </w:r>
      <w:r>
        <w:rPr>
          <w:color w:val="00274C"/>
          <w:sz w:val="20"/>
          <w:szCs w:val="20"/>
          <w:u w:val="none"/>
        </w:rPr>
        <w:t xml:space="preserve"> - </w:t>
      </w:r>
      <w:r>
        <w:rPr>
          <w:b/>
          <w:bCs/>
          <w:color w:val="00274C"/>
          <w:sz w:val="20"/>
          <w:szCs w:val="20"/>
          <w:u w:val="none"/>
        </w:rPr>
        <w:t xml:space="preserve">Fig 1.2</w:t>
      </w:r>
    </w:p>
    <w:p>
      <w:pPr>
        <w:widowControl w:val="on"/>
        <w:pBdr/>
        <w:spacing w:before="0" w:after="0" w:line="262" w:lineRule="auto"/>
        <w:ind w:left="0" w:right="0"/>
        <w:jc w:val="left"/>
      </w:pPr>
      <w:r>
        <w:rPr>
          <w:color w:val="00274C"/>
          <w:sz w:val="20"/>
          <w:szCs w:val="20"/>
          <w:u w:val="none"/>
        </w:rPr>
        <w:t xml:space="preserve"> </w:t>
      </w:r>
    </w:p>
    <w:p>
      <w:r>
        <w:drawing>
          <wp:inline distT="0" distB="0" distL="0" distR="0">
            <wp:extent cx="4824000" cy="1807200"/>
            <wp:effectExtent b="0" l="0" r="0" t="0"/>
            <wp:docPr id="72923300" name="name9680641c98fdf03a3" descr="Fig._1.3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3_EN.jpg"/>
                    <pic:cNvPicPr/>
                  </pic:nvPicPr>
                  <pic:blipFill>
                    <a:blip r:embed="rId2658641c98fdf039e" cstate="print"/>
                    <a:stretch>
                      <a:fillRect/>
                    </a:stretch>
                  </pic:blipFill>
                  <pic:spPr>
                    <a:xfrm>
                      <a:off x="0" y="0"/>
                      <a:ext cx="4824000" cy="1807200"/>
                    </a:xfrm>
                    <a:prstGeom prst="rect">
                      <a:avLst/>
                    </a:prstGeom>
                    <a:ln w="0">
                      <a:noFill/>
                    </a:ln>
                  </pic:spPr>
                </pic:pic>
              </a:graphicData>
            </a:graphic>
          </wp:inline>
        </w:drawing>
      </w:r>
      <w:r>
        <w:rPr>
          <w:b/>
          <w:bCs/>
          <w:color w:val="00274C"/>
          <w:sz w:val="20"/>
          <w:szCs w:val="20"/>
          <w:u w:val="none"/>
        </w:rPr>
        <w:br/>
        <w:t xml:space="preserve">Fig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Label for EPA rules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46"/>
              </w:rPr>
              <w:drawing>
                <wp:inline distT="0" distB="0" distL="0" distR="0">
                  <wp:extent cx="4752000" cy="4370400"/>
                  <wp:effectExtent b="0" l="0" r="0" t="0"/>
                  <wp:docPr id="18428905" name="name1688641c98fe093bf"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9881641c98fe093ba" cstate="print"/>
                          <a:stretch>
                            <a:fillRect/>
                          </a:stretch>
                        </pic:blipFill>
                        <pic:spPr>
                          <a:xfrm>
                            <a:off x="0" y="0"/>
                            <a:ext cx="4752000" cy="4370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(compilation example)</w:t>
            </w:r>
          </w:p>
          <w:p/>
          <w:p/>
          <w:p>
            <w:pPr>
              <w:widowControl w:val="on"/>
              <w:pBdr/>
              <w:spacing w:before="0" w:after="0" w:line="262" w:lineRule="auto"/>
              <w:ind w:left="0" w:right="0"/>
              <w:jc w:val="left"/>
              <w:textAlignment w:val="center"/>
            </w:pPr>
            <w:r>
              <w:rPr>
                <w:position w:val="-347"/>
              </w:rPr>
              <w:drawing>
                <wp:inline distT="0" distB="0" distL="0" distR="0">
                  <wp:extent cx="4752000" cy="4384800"/>
                  <wp:effectExtent b="0" l="0" r="0" t="0"/>
                  <wp:docPr id="62598106" name="name5770641c98fe1a663"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2303641c98fe1a65f"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Korea Standards</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18"/>
              </w:rPr>
              <w:drawing>
                <wp:inline distT="0" distB="0" distL="0" distR="0">
                  <wp:extent cx="4752000" cy="4024800"/>
                  <wp:effectExtent b="0" l="0" r="0" t="0"/>
                  <wp:docPr id="10932064" name="name1512641c98fe29b8d"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8775641c98fe29b88"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of the main internal components of the engine and operating reference (BASE CONFIGURATION)</w:t>
      </w:r>
    </w:p>
    <w:p>
      <w:pPr>
        <w:widowControl w:val="on"/>
        <w:pBdr/>
        <w:spacing w:before="0" w:after="0" w:line="262" w:lineRule="auto"/>
        <w:ind w:left="0" w:right="0"/>
        <w:jc w:val="left"/>
      </w:pPr>
      <w:r>
        <w:rPr>
          <w:b/>
          <w:bCs/>
          <w:color w:val="00274C"/>
          <w:sz w:val="20"/>
          <w:szCs w:val="20"/>
          <w:u w:val="none"/>
        </w:rPr>
        <w:t xml:space="preserve">WIEW OF EXHAUST SIDE</w:t>
      </w:r>
    </w:p>
    <w:p>
      <w:pPr>
        <w:widowControl w:val="on"/>
        <w:pBdr/>
        <w:spacing w:before="225" w:after="225" w:line="262" w:lineRule="auto"/>
        <w:ind w:left="0" w:right="0"/>
        <w:jc w:val="left"/>
      </w:pPr>
      <w:r>
        <w:drawing>
          <wp:inline distT="0" distB="0" distL="0" distR="0">
            <wp:extent cx="4932000" cy="3196800"/>
            <wp:effectExtent b="0" l="0" r="0" t="0"/>
            <wp:docPr id="21361270" name="name7073641c98fe32d25" descr="img1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5.jpg"/>
                    <pic:cNvPicPr/>
                  </pic:nvPicPr>
                  <pic:blipFill>
                    <a:blip r:embed="rId1240641c98fe32d21" cstate="print"/>
                    <a:stretch>
                      <a:fillRect/>
                    </a:stretch>
                  </pic:blipFill>
                  <pic:spPr>
                    <a:xfrm>
                      <a:off x="0" y="0"/>
                      <a:ext cx="4932000" cy="3196800"/>
                    </a:xfrm>
                    <a:prstGeom prst="rect">
                      <a:avLst/>
                    </a:prstGeom>
                    <a:ln w="0">
                      <a:noFill/>
                    </a:ln>
                  </pic:spPr>
                </pic:pic>
              </a:graphicData>
            </a:graphic>
          </wp:inline>
        </w:drawing>
      </w:r>
      <w:r>
        <w:rPr>
          <w:b/>
          <w:bCs/>
          <w:color w:val="00274C"/>
          <w:sz w:val="20"/>
          <w:szCs w:val="20"/>
          <w:u w:val="none"/>
        </w:rPr>
        <w:br/>
        <w:t xml:space="preserve">Fig 1.5</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The following chapters contain operating references in order to clearly understand the engine. This paragraph illustrates these references that may be recognised by means of some main internal components.</w:t>
            </w:r>
            <w:r>
              <w:rPr>
                <w:color w:val="00274C"/>
                <w:position w:val="-2"/>
                <w:sz w:val="20"/>
                <w:szCs w:val="20"/>
                <w:u w:val="none"/>
              </w:rPr>
              <w:br/>
              <w:br/>
              <w:t xml:space="preserve">Should you need to execute complex operations, always consult this paragraph</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1.2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REF.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w:t>
                  </w:r>
                  <w:r>
                    <w:rPr>
                      <w:position w:val="-7"/>
                    </w:rPr>
                    <w:drawing>
                      <wp:inline distT="0" distB="0" distL="0" distR="0">
                        <wp:extent cx="360000" cy="172800"/>
                        <wp:effectExtent b="0" l="0" r="0" t="0"/>
                        <wp:docPr id="72123532" name="name6540641c98fe3a657"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2292641c98fe3a652"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timing system side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 </w:t>
                  </w:r>
                  <w:r>
                    <w:rPr>
                      <w:position w:val="-7"/>
                    </w:rPr>
                    <w:drawing>
                      <wp:inline distT="0" distB="0" distL="0" distR="0">
                        <wp:extent cx="360000" cy="172800"/>
                        <wp:effectExtent b="0" l="0" r="0" t="0"/>
                        <wp:docPr id="214111" name="name3979641c98fe40b82"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8321641c98fe40b7e"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flywheel side (1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 </w:t>
                  </w:r>
                  <w:r>
                    <w:rPr>
                      <w:position w:val="-7"/>
                    </w:rPr>
                    <w:drawing>
                      <wp:inline distT="0" distB="0" distL="0" distR="0">
                        <wp:extent cx="360000" cy="172800"/>
                        <wp:effectExtent b="0" l="0" r="0" t="0"/>
                        <wp:docPr id="28271606" name="name5914641c98fe46990"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7731641c98fe4698c"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exhaust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w:t>
                  </w:r>
                  <w:r>
                    <w:rPr>
                      <w:position w:val="-7"/>
                    </w:rPr>
                    <w:drawing>
                      <wp:inline distT="0" distB="0" distL="0" distR="0">
                        <wp:extent cx="360000" cy="172800"/>
                        <wp:effectExtent b="0" l="0" r="0" t="0"/>
                        <wp:docPr id="57476099" name="name2736641c98fe4c5da"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8499641c98fe4c5d6"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intake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1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2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3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4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 timing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suction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Gears adaptor for 3 </w:t>
                  </w:r>
                  <w:r>
                    <w:rPr>
                      <w:color w:val="00274C"/>
                      <w:position w:val="3"/>
                      <w:sz w:val="17"/>
                      <w:szCs w:val="17"/>
                      <w:u w:val="none"/>
                      <w:shd w:val="clear" w:color="auto" w:fill="E1E2E0"/>
                      <w:vertAlign w:val="superscript"/>
                      <w:vertAlign w:val="superscript"/>
                    </w:rPr>
                    <w:t xml:space="preserve">th</w:t>
                  </w:r>
                  <w:r>
                    <w:rPr>
                      <w:color w:val="00274C"/>
                      <w:position w:val="-2"/>
                      <w:sz w:val="20"/>
                      <w:szCs w:val="20"/>
                      <w:u w:val="none"/>
                      <w:shd w:val="clear" w:color="auto" w:fill="E1E2E0"/>
                    </w:rPr>
                    <w:t xml:space="preserve"> /4 </w:t>
                  </w:r>
                  <w:r>
                    <w:rPr>
                      <w:color w:val="00274C"/>
                      <w:position w:val="3"/>
                      <w:sz w:val="17"/>
                      <w:szCs w:val="17"/>
                      <w:u w:val="none"/>
                      <w:shd w:val="clear" w:color="auto" w:fill="E1E2E0"/>
                      <w:vertAlign w:val="superscript"/>
                      <w:vertAlign w:val="superscript"/>
                    </w:rPr>
                    <w:t xml:space="preserve">th</w:t>
                  </w:r>
                  <w:r>
                    <w:rPr>
                      <w:color w:val="00274C"/>
                      <w:position w:val="-2"/>
                      <w:sz w:val="20"/>
                      <w:szCs w:val="20"/>
                      <w:u w:val="none"/>
                      <w:shd w:val="clear" w:color="auto" w:fill="E1E2E0"/>
                    </w:rPr>
                    <w:t xml:space="preserve"> PTO (optional)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WIEW OF FLYWHEEL SIDE</w:t>
      </w:r>
      <w:r>
        <w:drawing>
          <wp:inline distT="0" distB="0" distL="0" distR="0">
            <wp:extent cx="4932000" cy="3376800"/>
            <wp:effectExtent b="0" l="0" r="0" t="0"/>
            <wp:docPr id="95323990" name="name5144641c98fe5a458" descr="img1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6.jpg"/>
                    <pic:cNvPicPr/>
                  </pic:nvPicPr>
                  <pic:blipFill>
                    <a:blip r:embed="rId6248641c98fe5a453" cstate="print"/>
                    <a:stretch>
                      <a:fillRect/>
                    </a:stretch>
                  </pic:blipFill>
                  <pic:spPr>
                    <a:xfrm>
                      <a:off x="0" y="0"/>
                      <a:ext cx="4932000" cy="3376800"/>
                    </a:xfrm>
                    <a:prstGeom prst="rect">
                      <a:avLst/>
                    </a:prstGeom>
                    <a:ln w="0">
                      <a:noFill/>
                    </a:ln>
                  </pic:spPr>
                </pic:pic>
              </a:graphicData>
            </a:graphic>
          </wp:inline>
        </w:drawing>
      </w:r>
      <w:r>
        <w:rPr>
          <w:b/>
          <w:bCs/>
          <w:color w:val="00274C"/>
          <w:sz w:val="20"/>
          <w:szCs w:val="20"/>
          <w:u w:val="none"/>
        </w:rPr>
        <w:br/>
        <w:br/>
        <w:t xml:space="preserve">Fig 1.6</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WIEW OF TIMING SYSTEM SIDE</w:t>
      </w:r>
      <w:r>
        <w:drawing>
          <wp:inline distT="0" distB="0" distL="0" distR="0">
            <wp:extent cx="4932000" cy="3376800"/>
            <wp:effectExtent b="0" l="0" r="0" t="0"/>
            <wp:docPr id="56332635" name="name6048641c98fe64e09" descr="img1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7.jpg"/>
                    <pic:cNvPicPr/>
                  </pic:nvPicPr>
                  <pic:blipFill>
                    <a:blip r:embed="rId8804641c98fe64e05" cstate="print"/>
                    <a:stretch>
                      <a:fillRect/>
                    </a:stretch>
                  </pic:blipFill>
                  <pic:spPr>
                    <a:xfrm>
                      <a:off x="0" y="0"/>
                      <a:ext cx="4932000" cy="3376800"/>
                    </a:xfrm>
                    <a:prstGeom prst="rect">
                      <a:avLst/>
                    </a:prstGeom>
                    <a:ln w="0">
                      <a:noFill/>
                    </a:ln>
                  </pic:spPr>
                </pic:pic>
              </a:graphicData>
            </a:graphic>
          </wp:inline>
        </w:drawing>
      </w:r>
      <w:r>
        <w:rPr>
          <w:b/>
          <w:bCs/>
          <w:color w:val="00274C"/>
          <w:sz w:val="20"/>
          <w:szCs w:val="20"/>
          <w:u w:val="none"/>
        </w:rPr>
        <w:br/>
        <w:br/>
        <w:t xml:space="preserve">Fig 1.7</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of the external components of the engine (BASE CONFIGURATION)</w:t>
      </w:r>
    </w:p>
    <w:p>
      <w:pPr>
        <w:widowControl w:val="on"/>
        <w:pBdr/>
        <w:spacing w:before="225" w:after="225" w:line="262" w:lineRule="auto"/>
        <w:ind w:left="0" w:right="0"/>
        <w:jc w:val="left"/>
      </w:pPr>
      <w:r>
        <w:rPr>
          <w:b/>
          <w:bCs/>
          <w:color w:val="00274C"/>
          <w:sz w:val="20"/>
          <w:szCs w:val="20"/>
          <w:u w:val="none"/>
        </w:rPr>
        <w:t xml:space="preserve">VIEW OF TIMING SYSTEM SIDE - EXHAUST</w:t>
      </w:r>
      <w:r>
        <w:drawing>
          <wp:inline distT="0" distB="0" distL="0" distR="0">
            <wp:extent cx="5544000" cy="3600000"/>
            <wp:effectExtent b="0" l="0" r="0" t="0"/>
            <wp:docPr id="19283843" name="name6398641c98fe768f5" descr="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png"/>
                    <pic:cNvPicPr/>
                  </pic:nvPicPr>
                  <pic:blipFill>
                    <a:blip r:embed="rId6989641c98fe768f1" cstate="print"/>
                    <a:stretch>
                      <a:fillRect/>
                    </a:stretch>
                  </pic:blipFill>
                  <pic:spPr>
                    <a:xfrm>
                      <a:off x="0" y="0"/>
                      <a:ext cx="5544000" cy="3600000"/>
                    </a:xfrm>
                    <a:prstGeom prst="rect">
                      <a:avLst/>
                    </a:prstGeom>
                    <a:ln w="0">
                      <a:noFill/>
                    </a:ln>
                  </pic:spPr>
                </pic:pic>
              </a:graphicData>
            </a:graphic>
          </wp:inline>
        </w:drawing>
      </w:r>
      <w:r>
        <w:rPr>
          <w:b/>
          <w:bCs/>
          <w:color w:val="00274C"/>
          <w:sz w:val="20"/>
          <w:szCs w:val="20"/>
          <w:u w:val="none"/>
        </w:rPr>
        <w:br/>
        <w:br/>
        <w:t xml:space="preserve">Fig 1.8</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VIEW OF FLYWHEEL SIDE</w:t>
      </w:r>
      <w:r>
        <w:drawing>
          <wp:inline distT="0" distB="0" distL="0" distR="0">
            <wp:extent cx="5544000" cy="3787200"/>
            <wp:effectExtent b="0" l="0" r="0" t="0"/>
            <wp:docPr id="9568089" name="name6363641c98fe84eb9" descr="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png"/>
                    <pic:cNvPicPr/>
                  </pic:nvPicPr>
                  <pic:blipFill>
                    <a:blip r:embed="rId6833641c98fe84eb4"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1.9</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This paragraph illustrates all external components that are present in the base configuration of the engine.</w:t>
            </w:r>
            <w:r>
              <w:rPr>
                <w:color w:val="00274C"/>
                <w:position w:val="-2"/>
                <w:sz w:val="20"/>
                <w:szCs w:val="20"/>
                <w:u w:val="none"/>
              </w:rPr>
              <w:br/>
              <w:t xml:space="preserve">For components present on engines that differ from those represented in these illustrations, refer to </w:t>
            </w:r>
            <w:hyperlink r:id="rId9410641c98fe85815" w:history="1">
              <w:r>
                <w:rPr>
                  <w:rStyle w:val="DefaultParagraphFontPHPDOCX"/>
                  <w:b/>
                  <w:bCs/>
                  <w:color w:val="0000FF"/>
                  <w:position w:val="-2"/>
                  <w:sz w:val="20"/>
                  <w:szCs w:val="20"/>
                  <w:u w:val="none"/>
                </w:rPr>
                <w:t xml:space="preserve">Chap. 11</w:t>
              </w:r>
              <w:r>
                <w:rPr>
                  <w:color w:val="0000FF"/>
                  <w:position w:val="-2"/>
                  <w:sz w:val="20"/>
                  <w:szCs w:val="20"/>
                  <w:u w:val="single" w:color=""/>
                </w:rPr>
                <w:t xml:space="preserve"> .</w:t>
              </w:r>
            </w:hyperlink>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NOTE:</w:t>
            </w:r>
            <w:r>
              <w:rPr>
                <w:color w:val="00274C"/>
                <w:position w:val="0"/>
                <w:sz w:val="20"/>
                <w:szCs w:val="20"/>
                <w:u w:val="none"/>
              </w:rPr>
              <w:t xml:space="preserve"> The illustrated components may differ from those illustrated; the illustration is only as an example.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1.3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steam separator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plug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identification name plate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Catalyst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bl>
          <w:p/>
        </w:tc>
        <w:tc>
          <w:tcPr>
            <w:tcW w:w="0" w:type="auto"/>
            <w:tcMar>
              <w:top w:w="150" w:type="dxa"/>
              <w:left w:w="150" w:type="dxa"/>
              <w:bottom w:w="150" w:type="dxa"/>
              <w:right w:w="150" w:type="dxa"/>
            </w:tcMar>
            <w:vAlign w:val="top"/>
          </w:tcP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Lub. 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dipstick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valve control actuator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Flange bell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intake hose</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UPPER VIEW</w:t>
      </w:r>
      <w:r>
        <w:drawing>
          <wp:inline distT="0" distB="0" distL="0" distR="0">
            <wp:extent cx="5544000" cy="3787200"/>
            <wp:effectExtent b="0" l="0" r="0" t="0"/>
            <wp:docPr id="20270316" name="name8715641c98fee8ca7" descr="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png"/>
                    <pic:cNvPicPr/>
                  </pic:nvPicPr>
                  <pic:blipFill>
                    <a:blip r:embed="rId7753641c98fee8ca2"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1.10</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1.6.1 ATS with DOC filter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ATS system can be installed in a different way than shown.</w:t>
            </w:r>
          </w:p>
          <w:p/>
          <w:p/>
          <w:p>
            <w:pPr>
              <w:widowControl w:val="on"/>
              <w:pBdr/>
              <w:spacing w:before="0" w:after="0" w:line="262" w:lineRule="auto"/>
              <w:ind w:left="0" w:right="0"/>
              <w:jc w:val="left"/>
              <w:textAlignment w:val="center"/>
            </w:pPr>
            <w:r>
              <w:rPr>
                <w:position w:val="-191"/>
              </w:rPr>
              <w:drawing>
                <wp:inline distT="0" distB="0" distL="0" distR="0">
                  <wp:extent cx="2232000" cy="2448000"/>
                  <wp:effectExtent b="0" l="0" r="0" t="0"/>
                  <wp:docPr id="17424416" name="name7782641c98ff042e8" descr="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png"/>
                          <pic:cNvPicPr/>
                        </pic:nvPicPr>
                        <pic:blipFill>
                          <a:blip r:embed="rId5217641c98ff042e2" cstate="print"/>
                          <a:stretch>
                            <a:fillRect/>
                          </a:stretch>
                        </pic:blipFill>
                        <pic:spPr>
                          <a:xfrm>
                            <a:off x="0" y="0"/>
                            <a:ext cx="2232000" cy="2448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1.10</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Flexible exhaust tube</w:t>
                  </w:r>
                </w:p>
              </w:tc>
            </w:tr>
          </w:tbl>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1.6.2 ATS with DOC+DPF filter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ATS system with DPF filter is only present for versions compliant with "Stage V" emission regulations.</w:t>
            </w:r>
          </w:p>
          <w:p>
            <w:pPr>
              <w:widowControl w:val="on"/>
              <w:pBdr/>
              <w:spacing w:before="0" w:after="0" w:line="262" w:lineRule="auto"/>
              <w:ind w:left="0" w:right="0"/>
              <w:jc w:val="left"/>
              <w:textAlignment w:val="center"/>
            </w:pPr>
            <w:r>
              <w:rPr>
                <w:color w:val="00274C"/>
                <w:position w:val="-2"/>
                <w:sz w:val="20"/>
                <w:szCs w:val="20"/>
                <w:u w:val="none"/>
              </w:rPr>
              <w:t xml:space="preserve">The ATS system can be installed in a different way than shown.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Turbine exhaust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299"/>
              </w:rPr>
              <w:drawing>
                <wp:inline distT="0" distB="0" distL="0" distR="0">
                  <wp:extent cx="5544000" cy="3787200"/>
                  <wp:effectExtent b="0" l="0" r="0" t="0"/>
                  <wp:docPr id="48818599" name="name7053641c98ff2231b" descr="1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6.png"/>
                          <pic:cNvPicPr/>
                        </pic:nvPicPr>
                        <pic:blipFill>
                          <a:blip r:embed="rId8550641c98ff22314" cstate="print"/>
                          <a:stretch>
                            <a:fillRect/>
                          </a:stretch>
                        </pic:blipFill>
                        <pic:spPr>
                          <a:xfrm>
                            <a:off x="0" y="0"/>
                            <a:ext cx="5544000" cy="3787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1.11</w:t>
            </w:r>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27190">
    <w:multiLevelType w:val="hybridMultilevel"/>
    <w:lvl w:ilvl="0" w:tplc="98718248">
      <w:start w:val="1"/>
      <w:numFmt w:val="decimal"/>
      <w:lvlText w:val="%1."/>
      <w:lvlJc w:val="left"/>
      <w:pPr>
        <w:ind w:left="720" w:hanging="360"/>
      </w:pPr>
    </w:lvl>
    <w:lvl w:ilvl="1" w:tplc="98718248" w:tentative="1">
      <w:start w:val="1"/>
      <w:numFmt w:val="lowerLetter"/>
      <w:lvlText w:val="%2."/>
      <w:lvlJc w:val="left"/>
      <w:pPr>
        <w:ind w:left="1440" w:hanging="360"/>
      </w:pPr>
    </w:lvl>
    <w:lvl w:ilvl="2" w:tplc="98718248" w:tentative="1">
      <w:start w:val="1"/>
      <w:numFmt w:val="lowerRoman"/>
      <w:lvlText w:val="%3."/>
      <w:lvlJc w:val="right"/>
      <w:pPr>
        <w:ind w:left="2160" w:hanging="180"/>
      </w:pPr>
    </w:lvl>
    <w:lvl w:ilvl="3" w:tplc="98718248" w:tentative="1">
      <w:start w:val="1"/>
      <w:numFmt w:val="decimal"/>
      <w:lvlText w:val="%4."/>
      <w:lvlJc w:val="left"/>
      <w:pPr>
        <w:ind w:left="2880" w:hanging="360"/>
      </w:pPr>
    </w:lvl>
    <w:lvl w:ilvl="4" w:tplc="98718248" w:tentative="1">
      <w:start w:val="1"/>
      <w:numFmt w:val="lowerLetter"/>
      <w:lvlText w:val="%5."/>
      <w:lvlJc w:val="left"/>
      <w:pPr>
        <w:ind w:left="3600" w:hanging="360"/>
      </w:pPr>
    </w:lvl>
    <w:lvl w:ilvl="5" w:tplc="98718248" w:tentative="1">
      <w:start w:val="1"/>
      <w:numFmt w:val="lowerRoman"/>
      <w:lvlText w:val="%6."/>
      <w:lvlJc w:val="right"/>
      <w:pPr>
        <w:ind w:left="4320" w:hanging="180"/>
      </w:pPr>
    </w:lvl>
    <w:lvl w:ilvl="6" w:tplc="98718248" w:tentative="1">
      <w:start w:val="1"/>
      <w:numFmt w:val="decimal"/>
      <w:lvlText w:val="%7."/>
      <w:lvlJc w:val="left"/>
      <w:pPr>
        <w:ind w:left="5040" w:hanging="360"/>
      </w:pPr>
    </w:lvl>
    <w:lvl w:ilvl="7" w:tplc="98718248" w:tentative="1">
      <w:start w:val="1"/>
      <w:numFmt w:val="lowerLetter"/>
      <w:lvlText w:val="%8."/>
      <w:lvlJc w:val="left"/>
      <w:pPr>
        <w:ind w:left="5760" w:hanging="360"/>
      </w:pPr>
    </w:lvl>
    <w:lvl w:ilvl="8" w:tplc="98718248" w:tentative="1">
      <w:start w:val="1"/>
      <w:numFmt w:val="lowerRoman"/>
      <w:lvlText w:val="%9."/>
      <w:lvlJc w:val="right"/>
      <w:pPr>
        <w:ind w:left="6480" w:hanging="180"/>
      </w:pPr>
    </w:lvl>
  </w:abstractNum>
  <w:abstractNum w:abstractNumId="27189">
    <w:multiLevelType w:val="hybridMultilevel"/>
    <w:lvl w:ilvl="0" w:tplc="92684638">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7189">
    <w:abstractNumId w:val="27189"/>
  </w:num>
  <w:num w:numId="27190">
    <w:abstractNumId w:val="2719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931520289" Type="http://schemas.openxmlformats.org/officeDocument/2006/relationships/comments" Target="comments.xml"/><Relationship Id="rId348109138" Type="http://schemas.microsoft.com/office/2011/relationships/commentsExtended" Target="commentsExtended.xml"/><Relationship Id="rId57100782" Type="http://schemas.openxmlformats.org/officeDocument/2006/relationships/image" Target="media/imgrId57100782.jpg"/><Relationship Id="rId9836641c98fdd2c8b" Type="http://schemas.openxmlformats.org/officeDocument/2006/relationships/hyperlink" Target="https://iservice.lombardini.it/jsp/Template2/manuale.jsp?id=96&amp;parent=1000" TargetMode="External"/><Relationship Id="rId4282641c98fdd2e26" Type="http://schemas.openxmlformats.org/officeDocument/2006/relationships/hyperlink" Target="https://iservice.lombardini.it/jsp/Template2/manuale.jsp?id=97&amp;parent=1000" TargetMode="External"/><Relationship Id="rId9846641c98fdd4c3b" Type="http://schemas.openxmlformats.org/officeDocument/2006/relationships/hyperlink" Target="https://iservice.lombardini.it/jsp/Template2/manuale.jsp?id=193&amp;parent=1000" TargetMode="External"/><Relationship Id="rId9561641c98fdd4dd1" Type="http://schemas.openxmlformats.org/officeDocument/2006/relationships/hyperlink" Target="https://iservice.lombardini.it/jsp/Template2/manuale.jsp?id=193&amp;parent=1000" TargetMode="External"/><Relationship Id="rId9410641c98fe85815" Type="http://schemas.openxmlformats.org/officeDocument/2006/relationships/hyperlink" Target="https://iservice.lombardini.it/jsp/Template2/manuale.jsp?id=176&amp;parent=1000" TargetMode="External"/><Relationship Id="rId4786641c98fdda39a" Type="http://schemas.openxmlformats.org/officeDocument/2006/relationships/image" Target="media/imgrId4786641c98fdda39a.gif"/><Relationship Id="rId2371641c98fde7257" Type="http://schemas.openxmlformats.org/officeDocument/2006/relationships/image" Target="media/imgrId2371641c98fde7257.jpg"/><Relationship Id="rId2658641c98fdf039e" Type="http://schemas.openxmlformats.org/officeDocument/2006/relationships/image" Target="media/imgrId2658641c98fdf039e.jpg"/><Relationship Id="rId9881641c98fe093ba" Type="http://schemas.openxmlformats.org/officeDocument/2006/relationships/image" Target="media/imgrId9881641c98fe093ba.jpg"/><Relationship Id="rId2303641c98fe1a65f" Type="http://schemas.openxmlformats.org/officeDocument/2006/relationships/image" Target="media/imgrId2303641c98fe1a65f.jpg"/><Relationship Id="rId8775641c98fe29b88" Type="http://schemas.openxmlformats.org/officeDocument/2006/relationships/image" Target="media/imgrId8775641c98fe29b88.jpg"/><Relationship Id="rId1240641c98fe32d21" Type="http://schemas.openxmlformats.org/officeDocument/2006/relationships/image" Target="media/imgrId1240641c98fe32d21.jpg"/><Relationship Id="rId2292641c98fe3a652" Type="http://schemas.openxmlformats.org/officeDocument/2006/relationships/image" Target="media/imgrId2292641c98fe3a652.gif"/><Relationship Id="rId8321641c98fe40b7e" Type="http://schemas.openxmlformats.org/officeDocument/2006/relationships/image" Target="media/imgrId8321641c98fe40b7e.gif"/><Relationship Id="rId7731641c98fe4698c" Type="http://schemas.openxmlformats.org/officeDocument/2006/relationships/image" Target="media/imgrId7731641c98fe4698c.gif"/><Relationship Id="rId8499641c98fe4c5d6" Type="http://schemas.openxmlformats.org/officeDocument/2006/relationships/image" Target="media/imgrId8499641c98fe4c5d6.gif"/><Relationship Id="rId6248641c98fe5a453" Type="http://schemas.openxmlformats.org/officeDocument/2006/relationships/image" Target="media/imgrId6248641c98fe5a453.jpg"/><Relationship Id="rId8804641c98fe64e05" Type="http://schemas.openxmlformats.org/officeDocument/2006/relationships/image" Target="media/imgrId8804641c98fe64e05.jpg"/><Relationship Id="rId6989641c98fe768f1" Type="http://schemas.openxmlformats.org/officeDocument/2006/relationships/image" Target="media/imgrId6989641c98fe768f1.png"/><Relationship Id="rId6833641c98fe84eb4" Type="http://schemas.openxmlformats.org/officeDocument/2006/relationships/image" Target="media/imgrId6833641c98fe84eb4.png"/><Relationship Id="rId7753641c98fee8ca2" Type="http://schemas.openxmlformats.org/officeDocument/2006/relationships/image" Target="media/imgrId7753641c98fee8ca2.png"/><Relationship Id="rId5217641c98ff042e2" Type="http://schemas.openxmlformats.org/officeDocument/2006/relationships/image" Target="media/imgrId5217641c98ff042e2.png"/><Relationship Id="rId8550641c98ff22314" Type="http://schemas.openxmlformats.org/officeDocument/2006/relationships/image" Target="media/imgrId8550641c98ff22314.pn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57100782" Type="http://schemas.openxmlformats.org/officeDocument/2006/relationships/image" Target="media/imgrId57100782.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57100782" Type="http://schemas.openxmlformats.org/officeDocument/2006/relationships/image" Target="media/imgrId57100782.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57100782" Type="http://schemas.openxmlformats.org/officeDocument/2006/relationships/image" Target="media/imgrId57100782.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57100782" Type="http://schemas.openxmlformats.org/officeDocument/2006/relationships/image" Target="media/imgrId57100782.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57100782" Type="http://schemas.openxmlformats.org/officeDocument/2006/relationships/image" Target="media/imgrId57100782.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57100782" Type="http://schemas.openxmlformats.org/officeDocument/2006/relationships/image" Target="media/imgrId5710078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