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Informazioni generali</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Manuale officina KDI 1903 M (Rev_09.6)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62122542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71372827"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Registrazione modifiche al documento</w:t>
      </w:r>
    </w:p>
    <w:p>
      <w:pPr>
        <w:pStyle w:val="Normale"/>
        <w:jc w:val="center"/>
        <w:rPr/>
      </w:pPr>
      <w:r>
        <w:rPr/>
        <w:t xml:space="preserve">Qualsiasi modifica di questo documento deve essere registrata dall`ente compilatore, con la compilazione della tabella.</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Rilasciato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Codice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di emissione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Data revisione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Redatto da</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Visto</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ED005302-960</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02/2022</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C. ACCOTI</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D. UGHETTI</w:t>
            </w:r>
          </w:p>
        </w:tc>
      </w:tr>
    </w:tbl>
    <w:p/>
    <w:p>
      <w:pPr>
        <w:pStyle w:val="Normale"/>
        <w:jc w:val="center"/>
        <w:rPr/>
      </w:pPr>
      <w:r>
        <w:rPr>
          <w:b w:val="on"/>
          <w:bCs w:val="on"/>
        </w:rPr>
        <w:t xml:space="preserve">Istruzioni originali</w:t>
      </w:r>
    </w:p>
    <w:p>
      <w:pPr>
        <w:pStyle w:val="Normale"/>
        <w:jc w:val="center"/>
        <w:rPr/>
      </w:pPr>
      <w:r>
        <w:rPr/>
        <w:t xml:space="preserve">KOHLER si riserva il diritto di modificare in qualunque momento i dati contenuti in questa pubblicazione.</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24900686" w:name="ctxt"/>
    <w:bookmarkEnd w:id="24900686"/>
    <w:p>
      <w:pPr>
        <w:widowControl w:val="on"/>
        <w:pBdr/>
        <w:spacing w:before="75" w:after="75" w:line="240" w:lineRule="auto"/>
        <w:ind w:left="75" w:right="75"/>
        <w:jc w:val="left"/>
      </w:pPr>
    </w:p>
    <w:p>
      <w:pPr>
        <w:pStyle w:val="Titolo1"/>
      </w:pPr>
      <w:r>
        <w:rPr/>
        <w:t xml:space="preserve">Informazioni generali</w:t>
      </w:r>
    </w:p>
    <w:p>
      <w:pPr>
        <w:widowControl w:val="on"/>
        <w:pBdr/>
        <w:spacing w:before="0" w:after="0" w:line="240" w:lineRule="auto"/>
        <w:ind w:left="0" w:right="0"/>
        <w:jc w:val="left"/>
      </w:pPr>
    </w:p>
    <w:p>
      <w:pPr>
        <w:pStyle w:val="Titolo2"/>
      </w:pPr>
      <w:r>
        <w:rPr/>
        <w:t xml:space="preserve">Informazioni utili</w:t>
      </w:r>
    </w:p>
    <w:p>
      <w:pPr>
        <w:numPr>
          <w:ilvl w:val="0"/>
          <w:numId w:val="11766"/>
        </w:numPr>
        <w:spacing w:before="0" w:after="0" w:line="240" w:lineRule="auto"/>
        <w:jc w:val="left"/>
        <w:rPr>
          <w:color w:val="00274C"/>
          <w:sz w:val="20"/>
          <w:szCs w:val="20"/>
        </w:rPr>
      </w:pPr>
      <w:r>
        <w:rPr>
          <w:color w:val="00274C"/>
          <w:sz w:val="20"/>
          <w:szCs w:val="20"/>
          <w:u w:val="none"/>
        </w:rPr>
        <w:t xml:space="preserve">Questo manuale contiene le istruzioni necessarie ad eseguire una corretta riparazione del motore, quindi deve essere sempre disponibile, in modo tale da poterlo consultare all’occorrenza.</w:t>
      </w:r>
    </w:p>
    <w:p>
      <w:pPr>
        <w:numPr>
          <w:ilvl w:val="0"/>
          <w:numId w:val="11766"/>
        </w:numPr>
        <w:spacing w:before="0" w:after="0" w:line="240" w:lineRule="auto"/>
        <w:jc w:val="left"/>
        <w:rPr>
          <w:color w:val="00274C"/>
          <w:sz w:val="20"/>
          <w:szCs w:val="20"/>
        </w:rPr>
      </w:pPr>
      <w:r>
        <w:rPr>
          <w:color w:val="00274C"/>
          <w:sz w:val="20"/>
          <w:szCs w:val="20"/>
          <w:u w:val="none"/>
        </w:rPr>
        <w:t xml:space="preserve">Le informazioni, le descrizioni e le illustrazioni contenute nel manuale rispecchiano la configurazione base dei motori ( </w:t>
      </w:r>
      <w:hyperlink r:id="rId5467642184707b3b4" w:history="1">
        <w:r>
          <w:rPr>
            <w:rStyle w:val="DefaultParagraphFontPHPDOCX"/>
            <w:b/>
            <w:bCs/>
            <w:color w:val="0000FF"/>
            <w:sz w:val="20"/>
            <w:szCs w:val="20"/>
            <w:u w:val="none"/>
          </w:rPr>
          <w:t xml:space="preserve">Par. 1.3</w:t>
        </w:r>
      </w:hyperlink>
      <w:r>
        <w:rPr>
          <w:color w:val="00274C"/>
          <w:sz w:val="20"/>
          <w:szCs w:val="20"/>
          <w:u w:val="none"/>
        </w:rPr>
        <w:t xml:space="preserve"> e </w:t>
      </w:r>
      <w:hyperlink r:id="rId6112642184707b544"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1766"/>
        </w:numPr>
        <w:spacing w:before="0" w:after="0" w:line="240" w:lineRule="auto"/>
        <w:jc w:val="left"/>
        <w:rPr>
          <w:color w:val="00274C"/>
          <w:sz w:val="20"/>
          <w:szCs w:val="20"/>
        </w:rPr>
      </w:pPr>
      <w:r>
        <w:rPr>
          <w:color w:val="00274C"/>
          <w:sz w:val="20"/>
          <w:szCs w:val="20"/>
          <w:u w:val="none"/>
        </w:rPr>
        <w:t xml:space="preserve">Lo sviluppo dei motori, è tuttavia continuo, pertanto le informazioni contenute all’interno di questo manuale sono soggette a variazioni senza obbligo di preavviso.</w:t>
      </w:r>
    </w:p>
    <w:p>
      <w:pPr>
        <w:numPr>
          <w:ilvl w:val="0"/>
          <w:numId w:val="11766"/>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si riserva il diritto di apportare, in qualsiasi momento, eventuali modifiche ai motori per motivi di carattere tecnico o commerciale.</w:t>
      </w:r>
    </w:p>
    <w:p>
      <w:pPr>
        <w:numPr>
          <w:ilvl w:val="0"/>
          <w:numId w:val="11766"/>
        </w:numPr>
        <w:spacing w:before="0" w:after="0" w:line="240" w:lineRule="auto"/>
        <w:jc w:val="left"/>
        <w:rPr>
          <w:color w:val="00274C"/>
          <w:sz w:val="20"/>
          <w:szCs w:val="20"/>
        </w:rPr>
      </w:pPr>
      <w:r>
        <w:rPr>
          <w:color w:val="00274C"/>
          <w:sz w:val="20"/>
          <w:szCs w:val="20"/>
          <w:u w:val="none"/>
        </w:rPr>
        <w:t xml:space="preserve">Tali modifiche non obbligano </w:t>
      </w:r>
      <w:r>
        <w:rPr>
          <w:b/>
          <w:bCs/>
          <w:color w:val="00274C"/>
          <w:sz w:val="20"/>
          <w:szCs w:val="20"/>
          <w:u w:val="none"/>
        </w:rPr>
        <w:t xml:space="preserve">KOHLER</w:t>
      </w:r>
      <w:r>
        <w:rPr>
          <w:color w:val="00274C"/>
          <w:sz w:val="20"/>
          <w:szCs w:val="20"/>
          <w:u w:val="none"/>
        </w:rPr>
        <w:t xml:space="preserve"> ad intervenire sulla produzione commercializzata fino a quel momento, né a considerare il presente manuale inadeguato.</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 paragrafi, le tabelle e le figure sono numerate per capitolo e seguite dal numero progressivo di paragrafo, tabella e/o figura.</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capitolo </w:t>
      </w:r>
      <w:r>
        <w:rPr>
          <w:b/>
          <w:bCs/>
          <w:color w:val="00274C"/>
          <w:sz w:val="20"/>
          <w:szCs w:val="20"/>
          <w:u w:val="none"/>
        </w:rPr>
        <w:t xml:space="preserve">1</w:t>
      </w:r>
      <w:r>
        <w:rPr>
          <w:color w:val="00274C"/>
          <w:sz w:val="20"/>
          <w:szCs w:val="20"/>
          <w:u w:val="none"/>
        </w:rPr>
        <w:t xml:space="preserve"> paragrafo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capitolo </w:t>
      </w:r>
      <w:r>
        <w:rPr>
          <w:b/>
          <w:bCs/>
          <w:color w:val="00274C"/>
          <w:sz w:val="20"/>
          <w:szCs w:val="20"/>
          <w:u w:val="none"/>
        </w:rPr>
        <w:t xml:space="preserve">2</w:t>
      </w:r>
      <w:r>
        <w:rPr>
          <w:color w:val="00274C"/>
          <w:sz w:val="20"/>
          <w:szCs w:val="20"/>
          <w:u w:val="none"/>
        </w:rPr>
        <w:t xml:space="preserve"> tabella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capitolo </w:t>
      </w:r>
      <w:r>
        <w:rPr>
          <w:b/>
          <w:bCs/>
          <w:color w:val="00274C"/>
          <w:sz w:val="20"/>
          <w:szCs w:val="20"/>
          <w:u w:val="none"/>
        </w:rPr>
        <w:t xml:space="preserve">4</w:t>
      </w:r>
      <w:r>
        <w:rPr>
          <w:color w:val="00274C"/>
          <w:sz w:val="20"/>
          <w:szCs w:val="20"/>
          <w:u w:val="none"/>
        </w:rPr>
        <w:t xml:space="preserve"> figura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NOTA:</w:t>
      </w:r>
      <w:r>
        <w:rPr>
          <w:color w:val="00274C"/>
          <w:sz w:val="20"/>
          <w:szCs w:val="20"/>
          <w:u w:val="none"/>
        </w:rPr>
        <w:t xml:space="preserve"> I paragrafi possono contenere dei sottoparagrafi.</w:t>
      </w:r>
    </w:p>
    <w:p>
      <w:pPr>
        <w:widowControl w:val="on"/>
        <w:pBdr/>
        <w:spacing w:before="0" w:after="0" w:line="262" w:lineRule="auto"/>
        <w:ind w:left="0" w:right="0"/>
        <w:jc w:val="left"/>
      </w:pPr>
      <w:r>
        <w:rPr>
          <w:color w:val="00274C"/>
          <w:sz w:val="20"/>
          <w:szCs w:val="20"/>
          <w:u w:val="none"/>
        </w:rPr>
        <w:t xml:space="preserve"> </w:t>
      </w:r>
    </w:p>
    <w:p>
      <w:pPr>
        <w:numPr>
          <w:ilvl w:val="0"/>
          <w:numId w:val="11766"/>
        </w:numPr>
        <w:spacing w:before="0" w:after="0" w:line="240" w:lineRule="auto"/>
        <w:jc w:val="left"/>
        <w:rPr>
          <w:color w:val="00274C"/>
          <w:sz w:val="20"/>
          <w:szCs w:val="20"/>
        </w:rPr>
      </w:pPr>
      <w:r>
        <w:rPr>
          <w:color w:val="00274C"/>
          <w:sz w:val="20"/>
          <w:szCs w:val="20"/>
          <w:u w:val="none"/>
        </w:rPr>
        <w:t xml:space="preserve">Tutti i termini tecnici, componenti specifici e simbologia </w:t>
      </w:r>
      <w:r>
        <w:rPr>
          <w:b/>
          <w:bCs/>
          <w:color w:val="00274C"/>
          <w:sz w:val="20"/>
          <w:szCs w:val="20"/>
          <w:u w:val="none"/>
        </w:rPr>
        <w:t xml:space="preserve">( </w:t>
      </w:r>
      <w:hyperlink r:id="rId1881642184707d335" w:history="1">
        <w:r>
          <w:rPr>
            <w:rStyle w:val="DefaultParagraphFontPHPDOCX"/>
            <w:b/>
            <w:bCs/>
            <w:color w:val="0000FF"/>
            <w:sz w:val="20"/>
            <w:szCs w:val="20"/>
            <w:u w:val="single" w:color=""/>
          </w:rPr>
          <w:t xml:space="preserve">Tab. 15.1</w:t>
        </w:r>
      </w:hyperlink>
      <w:r>
        <w:rPr>
          <w:b/>
          <w:bCs/>
          <w:color w:val="00274C"/>
          <w:sz w:val="20"/>
          <w:szCs w:val="20"/>
          <w:u w:val="none"/>
        </w:rPr>
        <w:t xml:space="preserve"> )</w:t>
      </w:r>
      <w:r>
        <w:rPr>
          <w:color w:val="00274C"/>
          <w:sz w:val="20"/>
          <w:szCs w:val="20"/>
          <w:u w:val="none"/>
        </w:rPr>
        <w:t xml:space="preserve"> che sono presenti nel manuale, sono elencati e descritti all'interno del glossario, consultabile al </w:t>
      </w:r>
      <w:r>
        <w:rPr>
          <w:b/>
          <w:bCs/>
          <w:color w:val="00274C"/>
          <w:sz w:val="20"/>
          <w:szCs w:val="20"/>
          <w:u w:val="none"/>
        </w:rPr>
        <w:t xml:space="preserve">( </w:t>
      </w:r>
      <w:hyperlink r:id="rId1788642184707d5ab" w:history="1">
        <w:r>
          <w:rPr>
            <w:rStyle w:val="DefaultParagraphFontPHPDOCX"/>
            <w:b/>
            <w:bCs/>
            <w:color w:val="0000FF"/>
            <w:sz w:val="20"/>
            <w:szCs w:val="20"/>
            <w:u w:val="single" w:color=""/>
          </w:rPr>
          <w:t xml:space="preserve">Cap. 15</w:t>
        </w:r>
      </w:hyperlink>
      <w:r>
        <w:rPr>
          <w:b/>
          <w:bCs/>
          <w:color w:val="00274C"/>
          <w:sz w:val="20"/>
          <w:szCs w:val="20"/>
          <w:u w:val="none"/>
        </w:rPr>
        <w:t xml:space="preserve"> )</w:t>
      </w:r>
      <w:r>
        <w:rPr>
          <w:color w:val="00274C"/>
          <w:sz w:val="20"/>
          <w:szCs w:val="20"/>
          <w:u w:val="none"/>
        </w:rPr>
        <w:t xml:space="preserve"> .</w:t>
      </w:r>
    </w:p>
    <w:p>
      <w:pPr>
        <w:numPr>
          <w:ilvl w:val="0"/>
          <w:numId w:val="11766"/>
        </w:numPr>
        <w:spacing w:before="0" w:after="0" w:line="240" w:lineRule="auto"/>
        <w:jc w:val="left"/>
        <w:rPr>
          <w:color w:val="00274C"/>
          <w:sz w:val="20"/>
          <w:szCs w:val="20"/>
        </w:rPr>
      </w:pPr>
      <w:r>
        <w:rPr>
          <w:color w:val="00274C"/>
          <w:sz w:val="20"/>
          <w:szCs w:val="20"/>
          <w:u w:val="none"/>
        </w:rPr>
        <w:t xml:space="preserve">I riferimenti degli oggetti descritti nel testo e in figura sono indicati tramite lettere e numeri (in nero), le quali sono sempre e solo inerenti al paragrafo che si sta consultando a meno che non vi siano specifici richiami ad altre figure o paragrafi.</w:t>
      </w:r>
    </w:p>
    <w:p>
      <w:pPr>
        <w:numPr>
          <w:ilvl w:val="0"/>
          <w:numId w:val="11766"/>
        </w:numPr>
        <w:spacing w:before="0" w:after="0" w:line="240" w:lineRule="auto"/>
        <w:jc w:val="left"/>
        <w:rPr>
          <w:color w:val="00274C"/>
          <w:sz w:val="20"/>
          <w:szCs w:val="20"/>
        </w:rPr>
      </w:pPr>
      <w:r>
        <w:rPr>
          <w:color w:val="00274C"/>
          <w:sz w:val="20"/>
          <w:szCs w:val="20"/>
          <w:u w:val="none"/>
        </w:rPr>
        <w:t xml:space="preserve">I riferimenti di quote sono indicati tramite lettere e numeri </w:t>
      </w:r>
      <w:r>
        <w:rPr>
          <w:b/>
          <w:bCs/>
          <w:color w:val="00274C"/>
          <w:sz w:val="20"/>
          <w:szCs w:val="20"/>
          <w:u w:val="none"/>
        </w:rPr>
        <w:t xml:space="preserve">(sottolineato)</w:t>
      </w:r>
      <w:r>
        <w:rPr>
          <w:color w:val="00274C"/>
          <w:sz w:val="20"/>
          <w:szCs w:val="20"/>
          <w:u w:val="none"/>
        </w:rPr>
        <w:t xml:space="preserve"> .</w:t>
      </w:r>
    </w:p>
    <w:p>
      <w:pPr>
        <w:numPr>
          <w:ilvl w:val="0"/>
          <w:numId w:val="11766"/>
        </w:numPr>
        <w:spacing w:before="0" w:after="0" w:line="240" w:lineRule="auto"/>
        <w:jc w:val="left"/>
        <w:rPr>
          <w:color w:val="00274C"/>
          <w:sz w:val="20"/>
          <w:szCs w:val="20"/>
        </w:rPr>
      </w:pPr>
      <w:r>
        <w:rPr>
          <w:color w:val="00274C"/>
          <w:sz w:val="20"/>
          <w:szCs w:val="20"/>
          <w:u w:val="none"/>
        </w:rPr>
        <w:t xml:space="preserve">Eventuali integrazioni che </w:t>
      </w:r>
      <w:r>
        <w:rPr>
          <w:b/>
          <w:bCs/>
          <w:color w:val="00274C"/>
          <w:sz w:val="20"/>
          <w:szCs w:val="20"/>
          <w:u w:val="none"/>
        </w:rPr>
        <w:t xml:space="preserve">KOHLER</w:t>
      </w:r>
      <w:r>
        <w:rPr>
          <w:color w:val="00274C"/>
          <w:sz w:val="20"/>
          <w:szCs w:val="20"/>
          <w:u w:val="none"/>
        </w:rPr>
        <w:t xml:space="preserve"> riterrà opportuno fornite in seguito dovranno essere conservate unitamente al manuale e considerate parte integrante di esso.</w:t>
      </w:r>
    </w:p>
    <w:p>
      <w:pPr>
        <w:numPr>
          <w:ilvl w:val="0"/>
          <w:numId w:val="11766"/>
        </w:numPr>
        <w:spacing w:before="0" w:after="0" w:line="240" w:lineRule="auto"/>
        <w:jc w:val="left"/>
        <w:rPr>
          <w:color w:val="00274C"/>
          <w:sz w:val="20"/>
          <w:szCs w:val="20"/>
        </w:rPr>
      </w:pPr>
      <w:r>
        <w:rPr>
          <w:color w:val="00274C"/>
          <w:sz w:val="20"/>
          <w:szCs w:val="20"/>
          <w:u w:val="none"/>
        </w:rPr>
        <w:t xml:space="preserve">Le informazioni qui riportate sono di proprietà esclusiva della </w:t>
      </w:r>
      <w:r>
        <w:rPr>
          <w:b/>
          <w:bCs/>
          <w:color w:val="00274C"/>
          <w:sz w:val="20"/>
          <w:szCs w:val="20"/>
          <w:u w:val="none"/>
        </w:rPr>
        <w:t xml:space="preserve">KOHLER</w:t>
      </w:r>
      <w:r>
        <w:rPr>
          <w:color w:val="00274C"/>
          <w:sz w:val="20"/>
          <w:szCs w:val="20"/>
          <w:u w:val="none"/>
        </w:rPr>
        <w:t xml:space="preserve"> , pertanto non sono permesse riproduzioni o ristampe nè parziali nè totali senza il permesso espresso della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 Informazioni utili su: sicurezza - anti-infortunistica - impatto ambientale</w:t>
      </w:r>
    </w:p>
    <w:p>
      <w:pPr>
        <w:widowControl w:val="on"/>
        <w:pBdr/>
        <w:spacing w:before="0" w:after="0" w:line="262" w:lineRule="auto"/>
        <w:ind w:left="0" w:right="0"/>
        <w:jc w:val="left"/>
      </w:pPr>
      <w:r>
        <w:rPr>
          <w:b/>
          <w:bCs/>
          <w:color w:val="00274C"/>
          <w:sz w:val="20"/>
          <w:szCs w:val="20"/>
          <w:u w:val="none"/>
        </w:rPr>
        <w:t xml:space="preserve"> </w:t>
      </w:r>
    </w:p>
    <w:p>
      <w:pPr>
        <w:numPr>
          <w:ilvl w:val="0"/>
          <w:numId w:val="11766"/>
        </w:numPr>
        <w:spacing w:before="0" w:after="0" w:line="240" w:lineRule="auto"/>
        <w:jc w:val="left"/>
        <w:rPr>
          <w:color w:val="00274C"/>
          <w:sz w:val="20"/>
          <w:szCs w:val="20"/>
        </w:rPr>
      </w:pPr>
      <w:r>
        <w:rPr>
          <w:color w:val="00274C"/>
          <w:sz w:val="20"/>
          <w:szCs w:val="20"/>
          <w:u w:val="none"/>
        </w:rPr>
        <w:t xml:space="preserve">Prima di procedere alla riparazione - movimentazione del motore, è doveroso leggere interamente il </w:t>
      </w:r>
      <w:hyperlink r:id="rId2925642184707e790" w:history="1">
        <w:r>
          <w:rPr>
            <w:rStyle w:val="DefaultParagraphFontPHPDOCX"/>
            <w:b/>
            <w:bCs/>
            <w:color w:val="0000FF"/>
            <w:sz w:val="20"/>
            <w:szCs w:val="20"/>
            <w:u w:val="none"/>
          </w:rPr>
          <w:t xml:space="preserve">Cap. 3</w:t>
        </w:r>
      </w:hyperlink>
      <w:r>
        <w:rPr>
          <w:color w:val="00274C"/>
          <w:sz w:val="20"/>
          <w:szCs w:val="20"/>
          <w:u w:val="none"/>
        </w:rPr>
        <w:t xml:space="preserve"> , il quale contiene importanti informazioni sulle procedure da seguire per la sicurezza e per l'ambiente.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costruttore e motore</w:t>
      </w:r>
    </w:p>
    <w:p>
      <w:pPr>
        <w:widowControl w:val="on"/>
        <w:pBdr/>
        <w:spacing w:before="0" w:after="0" w:line="262" w:lineRule="auto"/>
        <w:ind w:left="0" w:right="0"/>
        <w:jc w:val="left"/>
      </w:pPr>
      <w:r>
        <w:rPr>
          <w:color w:val="00274C"/>
          <w:sz w:val="20"/>
          <w:szCs w:val="20"/>
          <w:u w:val="none"/>
        </w:rPr>
        <w:t xml:space="preserve">La targhetta di identificazione motore è situata sulla parte bassa del basamento, essa è visibile dal lato di aspirazione o dal lato scarico.</w:t>
      </w:r>
    </w:p>
    <w:p>
      <w:pPr>
        <w:widowControl w:val="on"/>
        <w:pBdr/>
        <w:spacing w:before="225" w:after="225" w:line="262" w:lineRule="auto"/>
        <w:ind w:left="0" w:right="0"/>
        <w:jc w:val="left"/>
      </w:pPr>
      <w:r>
        <w:drawing>
          <wp:inline distT="0" distB="0" distL="0" distR="0">
            <wp:extent cx="2239200" cy="2736000"/>
            <wp:effectExtent b="0" l="0" r="0" t="0"/>
            <wp:docPr id="833619" name="name5119642184708c998"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5651642184708c994"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37354439" name="name8492642184709a8a9"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5329642184709a8a4"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521600" cy="1692000"/>
            <wp:effectExtent b="0" l="0" r="0" t="0"/>
            <wp:docPr id="93852497" name="name594164218470a4867" descr="Fig._1.3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IT.jpg"/>
                    <pic:cNvPicPr/>
                  </pic:nvPicPr>
                  <pic:blipFill>
                    <a:blip r:embed="rId360864218470a4862" cstate="print"/>
                    <a:stretch>
                      <a:fillRect/>
                    </a:stretch>
                  </pic:blipFill>
                  <pic:spPr>
                    <a:xfrm>
                      <a:off x="0" y="0"/>
                      <a:ext cx="4521600" cy="16920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interni principali del motore e riferimenti operativi (CONFIGURAZIONE BASE)</w:t>
      </w:r>
    </w:p>
    <w:p>
      <w:pPr>
        <w:widowControl w:val="on"/>
        <w:pBdr/>
        <w:spacing w:before="0" w:after="0" w:line="262" w:lineRule="auto"/>
        <w:ind w:left="0" w:right="0"/>
        <w:jc w:val="left"/>
      </w:pPr>
      <w:r>
        <w:rPr>
          <w:b/>
          <w:bCs/>
          <w:color w:val="00274C"/>
          <w:sz w:val="20"/>
          <w:szCs w:val="20"/>
          <w:u w:val="none"/>
        </w:rPr>
        <w:t xml:space="preserve">VISTA LATO SCARICO</w:t>
      </w:r>
    </w:p>
    <w:p>
      <w:pPr>
        <w:widowControl w:val="on"/>
        <w:pBdr/>
        <w:spacing w:before="225" w:after="225" w:line="262" w:lineRule="auto"/>
        <w:ind w:left="0" w:right="0"/>
        <w:jc w:val="left"/>
      </w:pPr>
      <w:r>
        <w:drawing>
          <wp:inline distT="0" distB="0" distL="0" distR="0">
            <wp:extent cx="4824000" cy="3124800"/>
            <wp:effectExtent b="0" l="0" r="0" t="0"/>
            <wp:docPr id="32776982" name="name445064218470aea98"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674264218470aea94"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Nei capitoli successivi vengono richiamati dei riferimenti operativi, al fine di orientarsi con chiarezza sul motore, in questo paragrafo vengono illustrati tali riferimenti che possono essere riconosciuti tramite alcuni componenti interni principali.</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Consultare sempre questo paragrafo in caso di necessità per effettuare operazioni complesse.</w:t>
            </w:r>
          </w:p>
          <w:p>
            <w:pPr>
              <w:widowControl w:val="on"/>
              <w:pBdr/>
              <w:spacing w:before="0" w:after="0" w:line="262" w:lineRule="auto"/>
              <w:ind w:left="0" w:right="0"/>
              <w:jc w:val="left"/>
              <w:textAlignment w:val="center"/>
            </w:pPr>
            <w:r>
              <w:rPr>
                <w:b/>
                <w:bCs/>
                <w:color w:val="00274C"/>
                <w:position w:val="-2"/>
                <w:sz w:val="20"/>
                <w:szCs w:val="20"/>
                <w:u w:val="none"/>
              </w:rPr>
              <w:br/>
              <w:br/>
              <w:t xml:space="preserve">NOTA:</w:t>
            </w:r>
            <w:r>
              <w:rPr>
                <w:color w:val="00274C"/>
                <w:position w:val="-2"/>
                <w:sz w:val="20"/>
                <w:szCs w:val="20"/>
                <w:u w:val="none"/>
              </w:rPr>
              <w:t xml:space="preserve"> si consiglia di avere questa pagina a vista durante le operazioni di smontaggio e montaggio.</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31048" name="name955064218470b4f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05664218470b4f1e"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distribuzione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40818274" name="name338464218470b995e"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82064218470b995a"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19696435" name="name653464218470bfcaa"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348964218470bfca6"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2198026" name="name525464218470c5a2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8564218470c5a2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Vista da lato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Cilindro/Pistone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distribuzione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Tubo aspirazione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gomito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aspirazione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Albero a camme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Ingranaggi predisposizione per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(opzionali)</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w:t>
      </w:r>
      <w:r>
        <w:drawing>
          <wp:inline distT="0" distB="0" distL="0" distR="0">
            <wp:extent cx="4824000" cy="3297600"/>
            <wp:effectExtent b="0" l="0" r="0" t="0"/>
            <wp:docPr id="48614754" name="name870564218470d13ce"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482764218470d13c9"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DISTRIBUZIONE</w:t>
      </w:r>
      <w:r>
        <w:drawing>
          <wp:inline distT="0" distB="0" distL="0" distR="0">
            <wp:extent cx="4824000" cy="3297600"/>
            <wp:effectExtent b="0" l="0" r="0" t="0"/>
            <wp:docPr id="66394487" name="name404264218470d9649"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512364218470d964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Identificazione componenti esterni del motore (CONFIGURAZIONE BASE)</w:t>
      </w:r>
    </w:p>
    <w:p>
      <w:pPr>
        <w:widowControl w:val="on"/>
        <w:pBdr/>
        <w:spacing w:before="0" w:after="0" w:line="262" w:lineRule="auto"/>
        <w:ind w:left="0" w:right="0"/>
        <w:jc w:val="left"/>
      </w:pPr>
      <w:r>
        <w:rPr>
          <w:b/>
          <w:bCs/>
          <w:color w:val="00274C"/>
          <w:sz w:val="20"/>
          <w:szCs w:val="20"/>
          <w:u w:val="none"/>
        </w:rPr>
        <w:t xml:space="preserve">VISTA LATO DISTRIBUZIONE - SCARICO</w:t>
      </w:r>
    </w:p>
    <w:p>
      <w:pPr>
        <w:widowControl w:val="on"/>
        <w:pBdr/>
        <w:spacing w:before="225" w:after="225" w:line="262" w:lineRule="auto"/>
        <w:ind w:left="0" w:right="0"/>
        <w:jc w:val="left"/>
      </w:pPr>
      <w:r>
        <w:drawing>
          <wp:inline distT="0" distB="0" distL="0" distR="0">
            <wp:extent cx="4824000" cy="3132000"/>
            <wp:effectExtent b="0" l="0" r="0" t="0"/>
            <wp:docPr id="18152374" name="name792264218470e3962"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355764218470e395d"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VISTA LATO VOLANO - ASPIRAZIONE</w:t>
      </w:r>
      <w:r>
        <w:drawing>
          <wp:inline distT="0" distB="0" distL="0" distR="0">
            <wp:extent cx="4838400" cy="3304800"/>
            <wp:effectExtent b="0" l="0" r="0" t="0"/>
            <wp:docPr id="82605454" name="name238964218471462f8"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86664218471462f4" cstate="print"/>
                    <a:stretch>
                      <a:fillRect/>
                    </a:stretch>
                  </pic:blipFill>
                  <pic:spPr>
                    <a:xfrm>
                      <a:off x="0" y="0"/>
                      <a:ext cx="4838400" cy="33048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In questo paragrafo vengono illustrati tutti i componenti esterni che sono presenti nella configurazione base del motore.</w:t>
            </w:r>
          </w:p>
          <w:p>
            <w:pPr>
              <w:widowControl w:val="on"/>
              <w:pBdr/>
              <w:spacing w:before="0" w:after="0" w:line="262" w:lineRule="auto"/>
              <w:ind w:left="0" w:right="0"/>
              <w:jc w:val="left"/>
              <w:textAlignment w:val="center"/>
            </w:pPr>
            <w:r>
              <w:rPr>
                <w:color w:val="00274C"/>
                <w:position w:val="-2"/>
                <w:sz w:val="20"/>
                <w:szCs w:val="20"/>
                <w:u w:val="none"/>
              </w:rPr>
              <w:t xml:space="preserve">Per i componenti presenti sul motore diversi da quelli rappresentati in queste illustrazioni, consultare il  </w:t>
            </w:r>
            <w:hyperlink r:id="rId93046421847146c35" w:history="1">
              <w:r>
                <w:rPr>
                  <w:rStyle w:val="DefaultParagraphFontPHPDOCX"/>
                  <w:b/>
                  <w:bCs/>
                  <w:color w:val="0000FF"/>
                  <w:position w:val="-2"/>
                  <w:sz w:val="20"/>
                  <w:szCs w:val="20"/>
                  <w:u w:val="single" w:color=""/>
                </w:rPr>
                <w:t xml:space="preserve">Cap.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NOTA:</w:t>
            </w:r>
            <w:r>
              <w:rPr>
                <w:color w:val="00274C"/>
                <w:position w:val="0"/>
                <w:sz w:val="20"/>
                <w:szCs w:val="20"/>
                <w:u w:val="none"/>
              </w:rPr>
              <w:t xml:space="preserve">  I componenti illustrati, possono essere diversi da quelli rappresentati, l'illustrazione è puramente indicativa.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Interruttore pressione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Motorino avviamento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scarico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Targhetta identificazione motore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Sensore temperatura refrigerante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Tappo rifornimento olio laterale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Valvola termostatica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Pompa iniezione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Asta livello olio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Filtro carburante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Puleggia albero a gomito (2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Volano (1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Collettore di aspirazione</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Collettore di scarico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Campana di flangiatura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Iniettori</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rPr>
          <w:b/>
          <w:bCs/>
          <w:color w:val="00274C"/>
          <w:sz w:val="20"/>
          <w:szCs w:val="20"/>
          <w:u w:val="none"/>
        </w:rPr>
        <w:t xml:space="preserve">VISTA SUPERIORE</w:t>
      </w:r>
      <w:r>
        <w:drawing>
          <wp:inline distT="0" distB="0" distL="0" distR="0">
            <wp:extent cx="4960800" cy="3312000"/>
            <wp:effectExtent b="0" l="0" r="0" t="0"/>
            <wp:docPr id="11171212" name="name79466421847168bfc"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42656421847168bf7" cstate="print"/>
                    <a:stretch>
                      <a:fillRect/>
                    </a:stretch>
                  </pic:blipFill>
                  <pic:spPr>
                    <a:xfrm>
                      <a:off x="0" y="0"/>
                      <a:ext cx="4960800" cy="3312000"/>
                    </a:xfrm>
                    <a:prstGeom prst="rect">
                      <a:avLst/>
                    </a:prstGeom>
                    <a:ln w="0">
                      <a:noFill/>
                    </a:ln>
                  </pic:spPr>
                </pic:pic>
              </a:graphicData>
            </a:graphic>
          </wp:inline>
        </w:drawing>
      </w:r>
      <w:r>
        <w:rPr>
          <w:b/>
          <w:bCs/>
          <w:color w:val="00274C"/>
          <w:sz w:val="20"/>
          <w:szCs w:val="20"/>
          <w:u w:val="none"/>
        </w:rPr>
        <w:b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it</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767">
    <w:multiLevelType w:val="hybridMultilevel"/>
    <w:lvl w:ilvl="0" w:tplc="62142975">
      <w:start w:val="1"/>
      <w:numFmt w:val="decimal"/>
      <w:lvlText w:val="%1."/>
      <w:lvlJc w:val="left"/>
      <w:pPr>
        <w:ind w:left="720" w:hanging="360"/>
      </w:pPr>
    </w:lvl>
    <w:lvl w:ilvl="1" w:tplc="62142975" w:tentative="1">
      <w:start w:val="1"/>
      <w:numFmt w:val="lowerLetter"/>
      <w:lvlText w:val="%2."/>
      <w:lvlJc w:val="left"/>
      <w:pPr>
        <w:ind w:left="1440" w:hanging="360"/>
      </w:pPr>
    </w:lvl>
    <w:lvl w:ilvl="2" w:tplc="62142975" w:tentative="1">
      <w:start w:val="1"/>
      <w:numFmt w:val="lowerRoman"/>
      <w:lvlText w:val="%3."/>
      <w:lvlJc w:val="right"/>
      <w:pPr>
        <w:ind w:left="2160" w:hanging="180"/>
      </w:pPr>
    </w:lvl>
    <w:lvl w:ilvl="3" w:tplc="62142975" w:tentative="1">
      <w:start w:val="1"/>
      <w:numFmt w:val="decimal"/>
      <w:lvlText w:val="%4."/>
      <w:lvlJc w:val="left"/>
      <w:pPr>
        <w:ind w:left="2880" w:hanging="360"/>
      </w:pPr>
    </w:lvl>
    <w:lvl w:ilvl="4" w:tplc="62142975" w:tentative="1">
      <w:start w:val="1"/>
      <w:numFmt w:val="lowerLetter"/>
      <w:lvlText w:val="%5."/>
      <w:lvlJc w:val="left"/>
      <w:pPr>
        <w:ind w:left="3600" w:hanging="360"/>
      </w:pPr>
    </w:lvl>
    <w:lvl w:ilvl="5" w:tplc="62142975" w:tentative="1">
      <w:start w:val="1"/>
      <w:numFmt w:val="lowerRoman"/>
      <w:lvlText w:val="%6."/>
      <w:lvlJc w:val="right"/>
      <w:pPr>
        <w:ind w:left="4320" w:hanging="180"/>
      </w:pPr>
    </w:lvl>
    <w:lvl w:ilvl="6" w:tplc="62142975" w:tentative="1">
      <w:start w:val="1"/>
      <w:numFmt w:val="decimal"/>
      <w:lvlText w:val="%7."/>
      <w:lvlJc w:val="left"/>
      <w:pPr>
        <w:ind w:left="5040" w:hanging="360"/>
      </w:pPr>
    </w:lvl>
    <w:lvl w:ilvl="7" w:tplc="62142975" w:tentative="1">
      <w:start w:val="1"/>
      <w:numFmt w:val="lowerLetter"/>
      <w:lvlText w:val="%8."/>
      <w:lvlJc w:val="left"/>
      <w:pPr>
        <w:ind w:left="5760" w:hanging="360"/>
      </w:pPr>
    </w:lvl>
    <w:lvl w:ilvl="8" w:tplc="62142975" w:tentative="1">
      <w:start w:val="1"/>
      <w:numFmt w:val="lowerRoman"/>
      <w:lvlText w:val="%9."/>
      <w:lvlJc w:val="right"/>
      <w:pPr>
        <w:ind w:left="6480" w:hanging="180"/>
      </w:pPr>
    </w:lvl>
  </w:abstractNum>
  <w:abstractNum w:abstractNumId="11766">
    <w:multiLevelType w:val="hybridMultilevel"/>
    <w:lvl w:ilvl="0" w:tplc="390134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766">
    <w:abstractNumId w:val="11766"/>
  </w:num>
  <w:num w:numId="11767">
    <w:abstractNumId w:val="1176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01833010" Type="http://schemas.openxmlformats.org/officeDocument/2006/relationships/comments" Target="comments.xml"/><Relationship Id="rId219696024" Type="http://schemas.microsoft.com/office/2011/relationships/commentsExtended" Target="commentsExtended.xml"/><Relationship Id="rId71372827" Type="http://schemas.openxmlformats.org/officeDocument/2006/relationships/image" Target="media/imgrId71372827.jpg"/><Relationship Id="rId5467642184707b3b4" Type="http://schemas.openxmlformats.org/officeDocument/2006/relationships/hyperlink" Target="https://iservice.lombardini.it/jsp/Template2/manuale.jsp?id=259&amp;parent=1136" TargetMode="External"/><Relationship Id="rId6112642184707b544" Type="http://schemas.openxmlformats.org/officeDocument/2006/relationships/hyperlink" Target="https://iservice.lombardini.it/jsp/Template2/manuale.jsp?id=260&amp;parent=1136" TargetMode="External"/><Relationship Id="rId1881642184707d335" Type="http://schemas.openxmlformats.org/officeDocument/2006/relationships/hyperlink" Target="https://iservice.lombardini.it/jsp/Template2/manuale.jsp?id=335&amp;parent=1136" TargetMode="External"/><Relationship Id="rId1788642184707d5ab" Type="http://schemas.openxmlformats.org/officeDocument/2006/relationships/hyperlink" Target="https://iservice.lombardini.it/jsp/Template2/manuale.jsp?id=335&amp;parent=1136" TargetMode="External"/><Relationship Id="rId2925642184707e790" Type="http://schemas.openxmlformats.org/officeDocument/2006/relationships/hyperlink" Target="https://iservice.lombardini.it/jsp/Template2/manuale.jsp?id=282&amp;parent=1136" TargetMode="External"/><Relationship Id="rId93046421847146c35" Type="http://schemas.openxmlformats.org/officeDocument/2006/relationships/hyperlink" Target="https://iservice.lombardini.it/jsp/Template2/manuale.jsp?id=341&amp;parent=1136" TargetMode="External"/><Relationship Id="rId5651642184708c994" Type="http://schemas.openxmlformats.org/officeDocument/2006/relationships/image" Target="media/imgrId5651642184708c994.jpg"/><Relationship Id="rId5329642184709a8a4" Type="http://schemas.openxmlformats.org/officeDocument/2006/relationships/image" Target="media/imgrId5329642184709a8a4.jpg"/><Relationship Id="rId360864218470a4862" Type="http://schemas.openxmlformats.org/officeDocument/2006/relationships/image" Target="media/imgrId360864218470a4862.jpg"/><Relationship Id="rId674264218470aea94" Type="http://schemas.openxmlformats.org/officeDocument/2006/relationships/image" Target="media/imgrId674264218470aea94.jpg"/><Relationship Id="rId605664218470b4f1e" Type="http://schemas.openxmlformats.org/officeDocument/2006/relationships/image" Target="media/imgrId605664218470b4f1e.gif"/><Relationship Id="rId982064218470b995a" Type="http://schemas.openxmlformats.org/officeDocument/2006/relationships/image" Target="media/imgrId982064218470b995a.gif"/><Relationship Id="rId348964218470bfca6" Type="http://schemas.openxmlformats.org/officeDocument/2006/relationships/image" Target="media/imgrId348964218470bfca6.gif"/><Relationship Id="rId168564218470c5a21" Type="http://schemas.openxmlformats.org/officeDocument/2006/relationships/image" Target="media/imgrId168564218470c5a21.gif"/><Relationship Id="rId482764218470d13c9" Type="http://schemas.openxmlformats.org/officeDocument/2006/relationships/image" Target="media/imgrId482764218470d13c9.jpg"/><Relationship Id="rId512364218470d9644" Type="http://schemas.openxmlformats.org/officeDocument/2006/relationships/image" Target="media/imgrId512364218470d9644.jpg"/><Relationship Id="rId355764218470e395d" Type="http://schemas.openxmlformats.org/officeDocument/2006/relationships/image" Target="media/imgrId355764218470e395d.jpg"/><Relationship Id="rId686664218471462f4" Type="http://schemas.openxmlformats.org/officeDocument/2006/relationships/image" Target="media/imgrId686664218471462f4.jpg"/><Relationship Id="rId42656421847168bf7" Type="http://schemas.openxmlformats.org/officeDocument/2006/relationships/image" Target="media/imgrId42656421847168bf7.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71372827" Type="http://schemas.openxmlformats.org/officeDocument/2006/relationships/image" Target="media/imgrId71372827.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71372827" Type="http://schemas.openxmlformats.org/officeDocument/2006/relationships/image" Target="media/imgrId71372827.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71372827" Type="http://schemas.openxmlformats.org/officeDocument/2006/relationships/image" Target="media/imgrId71372827.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71372827" Type="http://schemas.openxmlformats.org/officeDocument/2006/relationships/image" Target="media/imgrId71372827.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71372827" Type="http://schemas.openxmlformats.org/officeDocument/2006/relationships/image" Target="media/imgrId71372827.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71372827" Type="http://schemas.openxmlformats.org/officeDocument/2006/relationships/image" Target="media/imgrId71372827.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