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TM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2842190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121617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7565665" w:name="ctxt"/>
    <w:bookmarkEnd w:id="97565665"/>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p>
      <w:pPr>
        <w:widowControl w:val="on"/>
        <w:pBdr/>
        <w:spacing w:before="0" w:after="0" w:line="262" w:lineRule="auto"/>
        <w:ind w:left="0" w:right="0"/>
        <w:jc w:val="left"/>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UNITÉ DE MESURE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80333645" name="name7970644005b713b5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748644005b713b53" cstate="print"/>
                          <a:stretch>
                            <a:fillRect/>
                          </a:stretch>
                        </pic:blipFill>
                        <pic:spPr>
                          <a:xfrm>
                            <a:off x="0" y="0"/>
                            <a:ext cx="11232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225" w:after="225" w:line="262" w:lineRule="auto"/>
        <w:ind w:left="0" w:right="0"/>
        <w:jc w:val="left"/>
      </w:pPr>
      <w:r>
        <w:drawing>
          <wp:inline distT="0" distB="0" distL="0" distR="0">
            <wp:extent cx="4752000" cy="2700000"/>
            <wp:effectExtent b="0" l="0" r="0" t="0"/>
            <wp:docPr id="36722449" name="name3848644005b7224e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142644005b7224df"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766579" name="name3154644005b7268b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520644005b7268a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6892"/>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26892"/>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26892"/>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26892"/>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26892"/>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183172" name="name8314644005b72b65a"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907644005b72b65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6892"/>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26892"/>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26892"/>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26892"/>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26892"/>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26892"/>
        </w:numPr>
        <w:spacing w:before="0" w:after="0" w:line="240" w:lineRule="auto"/>
        <w:jc w:val="left"/>
        <w:rPr>
          <w:color w:val="00274C"/>
          <w:sz w:val="20"/>
          <w:szCs w:val="20"/>
        </w:rPr>
      </w:pPr>
      <w:r>
        <w:rPr>
          <w:color w:val="00274C"/>
          <w:sz w:val="20"/>
          <w:szCs w:val="20"/>
          <w:u w:val="none"/>
        </w:rPr>
        <w:t xml:space="preserve">Les huiles « low SAPS », avec des cendres sulfatées 50 ppm.</w:t>
      </w:r>
    </w:p>
    <w:p>
      <w:pPr>
        <w:numPr>
          <w:ilvl w:val="0"/>
          <w:numId w:val="26892"/>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7813494" name="name8223644005b7334b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526644005b7334b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6892"/>
              </w:numPr>
              <w:spacing w:before="0" w:after="0" w:line="262" w:lineRule="auto"/>
              <w:jc w:val="left"/>
              <w:rPr>
                <w:color w:val="00274C"/>
                <w:sz w:val="20"/>
                <w:szCs w:val="20"/>
              </w:rPr>
            </w:pPr>
            <w:r>
              <w:rPr>
                <w:color w:val="00274C"/>
                <w:position w:val="-2"/>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26892"/>
              </w:numPr>
              <w:spacing w:before="0" w:after="0" w:line="262" w:lineRule="auto"/>
              <w:jc w:val="left"/>
              <w:rPr>
                <w:color w:val="00274C"/>
                <w:sz w:val="20"/>
                <w:szCs w:val="20"/>
              </w:rPr>
            </w:pPr>
            <w:r>
              <w:rPr>
                <w:color w:val="00274C"/>
                <w:position w:val="-2"/>
                <w:sz w:val="20"/>
                <w:szCs w:val="20"/>
                <w:u w:val="none"/>
              </w:rPr>
              <w:t xml:space="preserve">Toute défaillance résultant de l’utilisation de carburants autres que ceux recommandée, ne sera pas prise en charge sous garantie.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8544107" name="name7345644005b73b58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209644005b73b58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Avertissement</w:t>
            </w:r>
          </w:p>
          <w:p>
            <w:pPr>
              <w:numPr>
                <w:ilvl w:val="0"/>
                <w:numId w:val="26892"/>
              </w:numPr>
              <w:spacing w:before="0" w:after="0" w:line="262" w:lineRule="auto"/>
              <w:jc w:val="left"/>
              <w:rPr>
                <w:color w:val="00274C"/>
                <w:sz w:val="20"/>
                <w:szCs w:val="20"/>
              </w:rPr>
            </w:pPr>
            <w:r>
              <w:rPr>
                <w:color w:val="00274C"/>
                <w:position w:val="0"/>
                <w:sz w:val="20"/>
                <w:szCs w:val="20"/>
                <w:u w:val="none"/>
              </w:rPr>
              <w:t xml:space="preserve">Un carburant propre évite le colmatage des injecteurs de carburant. Nettoyer immédiatement tout déversement pendant le remplissage.</w:t>
            </w:r>
          </w:p>
          <w:p>
            <w:pPr>
              <w:numPr>
                <w:ilvl w:val="0"/>
                <w:numId w:val="26892"/>
              </w:numPr>
              <w:spacing w:before="0" w:after="0" w:line="262" w:lineRule="auto"/>
              <w:jc w:val="left"/>
              <w:rPr>
                <w:color w:val="00274C"/>
                <w:sz w:val="20"/>
                <w:szCs w:val="20"/>
              </w:rPr>
            </w:pPr>
            <w:r>
              <w:rPr>
                <w:color w:val="00274C"/>
                <w:position w:val="0"/>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numPr>
                <w:ilvl w:val="0"/>
                <w:numId w:val="26892"/>
              </w:numPr>
              <w:spacing w:before="0" w:after="0" w:line="262" w:lineRule="auto"/>
              <w:jc w:val="left"/>
              <w:rPr>
                <w:color w:val="00274C"/>
                <w:sz w:val="20"/>
                <w:szCs w:val="20"/>
              </w:rPr>
            </w:pPr>
            <w:r>
              <w:rPr>
                <w:color w:val="00274C"/>
                <w:position w:val="0"/>
                <w:sz w:val="20"/>
                <w:szCs w:val="20"/>
                <w:u w:val="none"/>
              </w:rPr>
              <w:t xml:space="preserve">Toute panne résultant de l'utilisation d'un carburant autre que </w:t>
            </w:r>
            <w:r>
              <w:rPr>
                <w:b/>
                <w:bCs/>
                <w:color w:val="00274C"/>
                <w:position w:val="0"/>
                <w:sz w:val="20"/>
                <w:szCs w:val="20"/>
                <w:u w:val="none"/>
              </w:rPr>
              <w:t xml:space="preserve">Tab. 2.3, 2.4</w:t>
            </w:r>
            <w:r>
              <w:rPr>
                <w:color w:val="00274C"/>
                <w:position w:val="0"/>
                <w:sz w:val="20"/>
                <w:szCs w:val="20"/>
                <w:u w:val="none"/>
              </w:rPr>
              <w:t xml:space="preserve"> ne seront pas couverts par la garantie.</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Indice de cétane de 40 minimum. Un indice de cétane supérieur à 47 est préférable, en particulier pour des températures inférieures à –20 °C (–4 °F) ou des altitudes supérieures à 1675 m (5500 pieds).</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pas de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dans les régions connues pour la mauvaise qualité du lubrifiant du gasoil ou si le moteur est utilisé avec des carburéacteurs, le filtre primaire doit être capable de doser le lubrifiant. </w:t>
                  </w:r>
                  <w:r>
                    <w:rPr>
                      <w:color w:val="00274C"/>
                      <w:position w:val="-2"/>
                      <w:sz w:val="20"/>
                      <w:szCs w:val="20"/>
                      <w:u w:val="none"/>
                    </w:rPr>
                    <w:t xml:space="preserve"> </w:t>
                  </w:r>
                  <w:r>
                    <w:rPr>
                      <w:b/>
                      <w:bCs/>
                      <w:color w:val="00274C"/>
                      <w:position w:val="-2"/>
                      <w:sz w:val="20"/>
                      <w:szCs w:val="20"/>
                      <w:u w:val="none"/>
                    </w:rPr>
                    <w:t xml:space="preserve">Contactez Kohler pour plus d'informations sur le filtre approuvé à cet effet</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Type de carburant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EN 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 puissance et le couple peuvent être inférieurs de 1 à 5 % en raison de la faible densité du carburant par rapport au gasoil standard.</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F-54 selon la dénomination militaire OTAN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Pour les températures ambiantes inférieures à 0°C (32°F) et en l'absence de carburant arctique disponible (Grade 1-D S15, Grade 2-D S15, ASTM D 975), utilisez les additifs suivants pour éviter un potentiel endommagement du moteur à faible charge par temps froid:</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6892"/>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Les additifs différents ne sont pas autorisés.</w:t>
                  </w:r>
                </w:p>
                <w:p>
                  <w:pPr>
                    <w:widowControl w:val="on"/>
                    <w:pBdr/>
                    <w:spacing w:before="0" w:after="0" w:line="262" w:lineRule="auto"/>
                    <w:ind w:left="0" w:right="0"/>
                    <w:jc w:val="left"/>
                    <w:textAlignment w:val="center"/>
                  </w:pPr>
                  <w:r>
                    <w:rPr>
                      <w:color w:val="00274C"/>
                      <w:position w:val="-2"/>
                      <w:sz w:val="20"/>
                      <w:szCs w:val="20"/>
                      <w:u w:val="none"/>
                    </w:rPr>
                    <w:t xml:space="preserve">L'utilisation d'additifs approuvés n'a aucune incidence sur le calendrier d'entretien du moteur.</w:t>
                  </w:r>
                </w:p>
                <w:p/>
                <w:p/>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ASTM D975 Grade1 et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soufré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fortement soufré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(kérosène, dénomination OTAN)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Fonctionnement avec carburéacteurs</w:t>
                  </w:r>
                </w:p>
                <w:p/>
                <w:p/>
                <w:p>
                  <w:pPr>
                    <w:widowControl w:val="on"/>
                    <w:pBdr/>
                    <w:spacing w:before="0" w:after="0" w:line="262" w:lineRule="auto"/>
                    <w:ind w:left="0" w:right="0"/>
                    <w:jc w:val="left"/>
                    <w:textAlignment w:val="top"/>
                  </w:pPr>
                  <w:r>
                    <w:rPr>
                      <w:color w:val="00274C"/>
                      <w:position w:val="0"/>
                      <w:sz w:val="20"/>
                      <w:szCs w:val="20"/>
                      <w:u w:val="none"/>
                    </w:rPr>
                    <w:t xml:space="preserve">Les carburéacteurs peuvent être utilisés mais uniquement en adoptant un filtre carburant supplémentaire avec doseur de lubrifiant.</w:t>
                  </w:r>
                </w:p>
                <w:p>
                  <w:pPr>
                    <w:widowControl w:val="on"/>
                    <w:pBdr/>
                    <w:spacing w:before="0" w:after="0" w:line="262" w:lineRule="auto"/>
                    <w:ind w:left="0" w:right="0"/>
                    <w:jc w:val="left"/>
                    <w:textAlignment w:val="top"/>
                  </w:pPr>
                  <w:r>
                    <w:rPr>
                      <w:color w:val="00274C"/>
                      <w:position w:val="0"/>
                      <w:sz w:val="20"/>
                      <w:szCs w:val="20"/>
                      <w:u w:val="none"/>
                    </w:rPr>
                    <w:t xml:space="preserve">En raison d'une densité plus faible et d'une perte de carburant plus importante dues à une viscosité plus faible, selon le régime et le couple du moteur, une perte de puissance jusqu'à 10 % est possible.</w:t>
                  </w:r>
                </w:p>
                <w:p>
                  <w:pPr>
                    <w:widowControl w:val="on"/>
                    <w:pBdr/>
                    <w:spacing w:before="0" w:after="0" w:line="262" w:lineRule="auto"/>
                    <w:ind w:left="0" w:right="0"/>
                    <w:jc w:val="left"/>
                    <w:textAlignment w:val="top"/>
                  </w:pPr>
                  <w:r>
                    <w:rPr>
                      <w:color w:val="00274C"/>
                      <w:position w:val="0"/>
                      <w:sz w:val="20"/>
                      <w:szCs w:val="20"/>
                      <w:u w:val="none"/>
                    </w:rPr>
                    <w:t xml:space="preserve">Parmi les carburéacteurs répertoriés, certains présentent des propriétés problématiques (viscosité, pouvoir lubrifiant et faible point d'ébullition). Il faut s'attendre à une légère augmentation de l'usure du système d'injection, qui peut conduire à une réduction statistique de la durée de vie de ces composants. La teneur en soufre doit être inférieure à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(kérosène, dénomination OTAN)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(kérosène, dénomination OTAN, équivalent au F-34/F-35 avec additifs)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(kérosène pour l'aviation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(kérosène pour l'aviation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ADDITIFS POUR CARBURANT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Remarques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pour carburant ayant des fonctions biocides/algicides sont autorisés uniquement en cas de stockage du carburant dans le réservoir pendant de longues périodes (un an ou plus).</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Pour connaître les marques et types suggérés, contactez le personnel de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Ces additifs doivent être dilués dans le carburant en respectant les pourcentages prescrits sur l’étiquette produit lors du remplissage du réservoir.</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ayant une fonction autre que biocide/algicide ne sont pas autorisés.</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6892"/>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26892"/>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1378813" name="name2279644005b74d48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769644005b74d48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6892"/>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26892"/>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6893">
    <w:multiLevelType w:val="hybridMultilevel"/>
    <w:lvl w:ilvl="0" w:tplc="78800543">
      <w:start w:val="1"/>
      <w:numFmt w:val="decimal"/>
      <w:lvlText w:val="%1."/>
      <w:lvlJc w:val="left"/>
      <w:pPr>
        <w:ind w:left="720" w:hanging="360"/>
      </w:pPr>
    </w:lvl>
    <w:lvl w:ilvl="1" w:tplc="78800543" w:tentative="1">
      <w:start w:val="1"/>
      <w:numFmt w:val="lowerLetter"/>
      <w:lvlText w:val="%2."/>
      <w:lvlJc w:val="left"/>
      <w:pPr>
        <w:ind w:left="1440" w:hanging="360"/>
      </w:pPr>
    </w:lvl>
    <w:lvl w:ilvl="2" w:tplc="78800543" w:tentative="1">
      <w:start w:val="1"/>
      <w:numFmt w:val="lowerRoman"/>
      <w:lvlText w:val="%3."/>
      <w:lvlJc w:val="right"/>
      <w:pPr>
        <w:ind w:left="2160" w:hanging="180"/>
      </w:pPr>
    </w:lvl>
    <w:lvl w:ilvl="3" w:tplc="78800543" w:tentative="1">
      <w:start w:val="1"/>
      <w:numFmt w:val="decimal"/>
      <w:lvlText w:val="%4."/>
      <w:lvlJc w:val="left"/>
      <w:pPr>
        <w:ind w:left="2880" w:hanging="360"/>
      </w:pPr>
    </w:lvl>
    <w:lvl w:ilvl="4" w:tplc="78800543" w:tentative="1">
      <w:start w:val="1"/>
      <w:numFmt w:val="lowerLetter"/>
      <w:lvlText w:val="%5."/>
      <w:lvlJc w:val="left"/>
      <w:pPr>
        <w:ind w:left="3600" w:hanging="360"/>
      </w:pPr>
    </w:lvl>
    <w:lvl w:ilvl="5" w:tplc="78800543" w:tentative="1">
      <w:start w:val="1"/>
      <w:numFmt w:val="lowerRoman"/>
      <w:lvlText w:val="%6."/>
      <w:lvlJc w:val="right"/>
      <w:pPr>
        <w:ind w:left="4320" w:hanging="180"/>
      </w:pPr>
    </w:lvl>
    <w:lvl w:ilvl="6" w:tplc="78800543" w:tentative="1">
      <w:start w:val="1"/>
      <w:numFmt w:val="decimal"/>
      <w:lvlText w:val="%7."/>
      <w:lvlJc w:val="left"/>
      <w:pPr>
        <w:ind w:left="5040" w:hanging="360"/>
      </w:pPr>
    </w:lvl>
    <w:lvl w:ilvl="7" w:tplc="78800543" w:tentative="1">
      <w:start w:val="1"/>
      <w:numFmt w:val="lowerLetter"/>
      <w:lvlText w:val="%8."/>
      <w:lvlJc w:val="left"/>
      <w:pPr>
        <w:ind w:left="5760" w:hanging="360"/>
      </w:pPr>
    </w:lvl>
    <w:lvl w:ilvl="8" w:tplc="78800543" w:tentative="1">
      <w:start w:val="1"/>
      <w:numFmt w:val="lowerRoman"/>
      <w:lvlText w:val="%9."/>
      <w:lvlJc w:val="right"/>
      <w:pPr>
        <w:ind w:left="6480" w:hanging="180"/>
      </w:pPr>
    </w:lvl>
  </w:abstractNum>
  <w:abstractNum w:abstractNumId="26892">
    <w:multiLevelType w:val="hybridMultilevel"/>
    <w:lvl w:ilvl="0" w:tplc="994806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6892">
    <w:abstractNumId w:val="26892"/>
  </w:num>
  <w:num w:numId="26893">
    <w:abstractNumId w:val="26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06747672" Type="http://schemas.openxmlformats.org/officeDocument/2006/relationships/comments" Target="comments.xml"/><Relationship Id="rId976355599" Type="http://schemas.microsoft.com/office/2011/relationships/commentsExtended" Target="commentsExtended.xml"/><Relationship Id="rId61216173" Type="http://schemas.openxmlformats.org/officeDocument/2006/relationships/image" Target="media/imgrId61216173.jpg"/><Relationship Id="rId8748644005b713b53" Type="http://schemas.openxmlformats.org/officeDocument/2006/relationships/image" Target="media/imgrId8748644005b713b53.jpg"/><Relationship Id="rId9142644005b7224df" Type="http://schemas.openxmlformats.org/officeDocument/2006/relationships/image" Target="media/imgrId9142644005b7224df.jpg"/><Relationship Id="rId5520644005b7268af" Type="http://schemas.openxmlformats.org/officeDocument/2006/relationships/image" Target="media/imgrId5520644005b7268af.jpg"/><Relationship Id="rId1907644005b72b655" Type="http://schemas.openxmlformats.org/officeDocument/2006/relationships/image" Target="media/imgrId1907644005b72b655.jpg"/><Relationship Id="rId2526644005b7334b8" Type="http://schemas.openxmlformats.org/officeDocument/2006/relationships/image" Target="media/imgrId2526644005b7334b8.png"/><Relationship Id="rId5209644005b73b585" Type="http://schemas.openxmlformats.org/officeDocument/2006/relationships/image" Target="media/imgrId5209644005b73b585.png"/><Relationship Id="rId2769644005b74d487" Type="http://schemas.openxmlformats.org/officeDocument/2006/relationships/image" Target="media/imgrId2769644005b74d487.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1216173" Type="http://schemas.openxmlformats.org/officeDocument/2006/relationships/image" Target="media/imgrId6121617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1216173" Type="http://schemas.openxmlformats.org/officeDocument/2006/relationships/image" Target="media/imgrId6121617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1216173" Type="http://schemas.openxmlformats.org/officeDocument/2006/relationships/image" Target="media/imgrId6121617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1216173" Type="http://schemas.openxmlformats.org/officeDocument/2006/relationships/image" Target="media/imgrId6121617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1216173" Type="http://schemas.openxmlformats.org/officeDocument/2006/relationships/image" Target="media/imgrId6121617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1216173" Type="http://schemas.openxmlformats.org/officeDocument/2006/relationships/image" Target="media/imgrId6121617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