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2504TCR / KDI 2504TCRE5 Owner Manual (Rev_20)</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72422723"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6127343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2504tcr</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75433999" w:name="ctxt"/>
    <w:bookmarkEnd w:id="75433999"/>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922"/>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2922"/>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2922"/>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2922"/>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2922"/>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2922"/>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2922"/>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2922"/>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2922"/>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2922"/>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2163647114a06c0c6"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944647114a06c24e"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2922"/>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2795647114a06c738"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16000"/>
            <wp:effectExtent b="0" l="0" r="0" t="0"/>
            <wp:docPr id="49340493" name="name4570647114a0928b3" descr="Identificazione_componenti_mo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EN.jpg"/>
                    <pic:cNvPicPr/>
                  </pic:nvPicPr>
                  <pic:blipFill>
                    <a:blip r:embed="rId1307647114a0928ad"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86"/>
              </w:rPr>
              <w:drawing>
                <wp:inline distT="0" distB="0" distL="0" distR="0">
                  <wp:extent cx="5544000" cy="3636000"/>
                  <wp:effectExtent b="0" l="0" r="0" t="0"/>
                  <wp:docPr id="53195233" name="name8014647114a0c5e12" descr="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S.jpg"/>
                          <pic:cNvPicPr/>
                        </pic:nvPicPr>
                        <pic:blipFill>
                          <a:blip r:embed="rId1401647114a0c5e0e" cstate="print"/>
                          <a:stretch>
                            <a:fillRect/>
                          </a:stretch>
                        </pic:blipFill>
                        <pic:spPr>
                          <a:xfrm>
                            <a:off x="0" y="0"/>
                            <a:ext cx="5544000" cy="3636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u w:val="none"/>
              </w:rPr>
              <w:t xml:space="preserve">A: Turbocharger</w:t>
            </w:r>
          </w:p>
          <w:p>
            <w:pPr>
              <w:widowControl w:val="on"/>
              <w:pBdr/>
              <w:spacing w:before="0" w:after="0" w:line="262" w:lineRule="auto"/>
              <w:ind w:left="0" w:right="0"/>
              <w:jc w:val="left"/>
              <w:textAlignment w:val="center"/>
            </w:pPr>
            <w:r>
              <w:rPr>
                <w:color w:val="00274C"/>
                <w:position w:val="-2"/>
                <w:sz w:val="20"/>
                <w:szCs w:val="20"/>
                <w:u w:val="none"/>
              </w:rPr>
              <w:t xml:space="preserve">B: Turbine exhaust pipe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ATS system is only present for versions that conform to "Stage V" emission regulations. The ATS system can be mounted differently than the figure.</w:t>
            </w:r>
          </w:p>
        </w:tc>
        <w:tc>
          <w:tcPr>
            <w:tcW w:w="0" w:type="auto"/>
            <w:tcMar>
              <w:top w:w="150" w:type="dxa"/>
              <w:left w:w="150" w:type="dxa"/>
              <w:bottom w:w="150" w:type="dxa"/>
              <w:right w:w="150" w:type="dxa"/>
            </w:tcMar>
            <w:vAlign w:val="top"/>
          </w:tcPr>
          <w:p>
            <w:pPr>
              <w:numPr>
                <w:ilvl w:val="0"/>
                <w:numId w:val="12922"/>
              </w:numPr>
              <w:spacing w:before="0" w:after="0" w:line="262" w:lineRule="auto"/>
              <w:jc w:val="left"/>
              <w:rPr>
                <w:color w:val="00274C"/>
                <w:sz w:val="20"/>
                <w:szCs w:val="20"/>
              </w:rPr>
            </w:pPr>
            <w:r>
              <w:rPr>
                <w:color w:val="00274C"/>
                <w:position w:val="0"/>
                <w:sz w:val="20"/>
                <w:szCs w:val="20"/>
                <w:u w:val="none"/>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12922"/>
              </w:numPr>
              <w:spacing w:before="0" w:after="0" w:line="262" w:lineRule="auto"/>
              <w:jc w:val="left"/>
              <w:rPr>
                <w:color w:val="00274C"/>
                <w:sz w:val="20"/>
                <w:szCs w:val="20"/>
              </w:rPr>
            </w:pPr>
            <w:r>
              <w:rPr>
                <w:color w:val="00274C"/>
                <w:position w:val="0"/>
                <w:sz w:val="20"/>
                <w:szCs w:val="20"/>
                <w:u w:val="none"/>
              </w:rPr>
              <w:t xml:space="preserve">The minimum engine speed increases during the forced regeneration phases.</w:t>
            </w:r>
          </w:p>
          <w:p>
            <w:pPr>
              <w:numPr>
                <w:ilvl w:val="0"/>
                <w:numId w:val="12922"/>
              </w:numPr>
              <w:spacing w:before="0" w:after="0" w:line="262" w:lineRule="auto"/>
              <w:jc w:val="left"/>
              <w:rPr>
                <w:color w:val="00274C"/>
                <w:sz w:val="20"/>
                <w:szCs w:val="20"/>
              </w:rPr>
            </w:pPr>
            <w:r>
              <w:rPr>
                <w:color w:val="00274C"/>
                <w:position w:val="0"/>
                <w:sz w:val="20"/>
                <w:szCs w:val="20"/>
                <w:u w:val="none"/>
              </w:rPr>
              <w:t xml:space="preserve">See Par. 4.7 for the regeneration strategies of the DPF.</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motor identification data</w:t>
      </w:r>
    </w:p>
    <w:p>
      <w:pPr>
        <w:widowControl w:val="on"/>
        <w:pBdr/>
        <w:spacing w:before="0" w:after="0" w:line="262" w:lineRule="auto"/>
        <w:ind w:left="0" w:right="0"/>
        <w:jc w:val="left"/>
      </w:pPr>
      <w:r>
        <w:rPr>
          <w:color w:val="00274C"/>
          <w:sz w:val="20"/>
          <w:szCs w:val="20"/>
          <w:u w:val="none"/>
        </w:rPr>
        <w:t xml:space="preserve">The nameplate motor identification is find side </w:t>
      </w:r>
      <w:r>
        <w:rPr>
          <w:b/>
          <w:bCs/>
          <w:color w:val="00274C"/>
          <w:sz w:val="20"/>
          <w:szCs w:val="20"/>
          <w:u w:val="none"/>
        </w:rPr>
        <w:t xml:space="preserve">A</w:t>
      </w:r>
      <w:r>
        <w:rPr>
          <w:color w:val="00274C"/>
          <w:sz w:val="20"/>
          <w:szCs w:val="20"/>
          <w:u w:val="none"/>
        </w:rPr>
        <w:t xml:space="preserve"> or side </w:t>
      </w:r>
      <w:r>
        <w:rPr>
          <w:b/>
          <w:bCs/>
          <w:color w:val="00274C"/>
          <w:sz w:val="20"/>
          <w:szCs w:val="20"/>
          <w:u w:val="none"/>
        </w:rPr>
        <w:t xml:space="preserve">B</w:t>
      </w: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3211200"/>
            <wp:effectExtent b="0" l="0" r="0" t="0"/>
            <wp:docPr id="44555502" name="name8623647114a0d2b2d" descr="fig_03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3en.jpg"/>
                    <pic:cNvPicPr/>
                  </pic:nvPicPr>
                  <pic:blipFill>
                    <a:blip r:embed="rId6914647114a0d2b29" cstate="print"/>
                    <a:stretch>
                      <a:fillRect/>
                    </a:stretch>
                  </pic:blipFill>
                  <pic:spPr>
                    <a:xfrm>
                      <a:off x="0" y="0"/>
                      <a:ext cx="4752000" cy="3211200"/>
                    </a:xfrm>
                    <a:prstGeom prst="rect">
                      <a:avLst/>
                    </a:prstGeom>
                    <a:ln w="0">
                      <a:noFill/>
                    </a:ln>
                  </pic:spPr>
                </pic:pic>
              </a:graphicData>
            </a:graphic>
          </wp:inline>
        </w:drawing>
      </w:r>
      <w:r>
        <w:rPr>
          <w:color w:val="00274C"/>
          <w:sz w:val="20"/>
          <w:szCs w:val="20"/>
          <w:u w:val="none"/>
        </w:rPr>
        <w:br/>
        <w:t xml:space="preserve"> </w:t>
      </w:r>
      <w:r>
        <w:drawing>
          <wp:inline distT="0" distB="0" distL="0" distR="0">
            <wp:extent cx="4752000" cy="1785600"/>
            <wp:effectExtent b="0" l="0" r="0" t="0"/>
            <wp:docPr id="60007931" name="name2682647114a0dcb50" descr="fig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04.jpg"/>
                    <pic:cNvPicPr/>
                  </pic:nvPicPr>
                  <pic:blipFill>
                    <a:blip r:embed="rId4163647114a0dcb4c" cstate="print"/>
                    <a:stretch>
                      <a:fillRect/>
                    </a:stretch>
                  </pic:blipFill>
                  <pic:spPr>
                    <a:xfrm>
                      <a:off x="0" y="0"/>
                      <a:ext cx="4752000" cy="17856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Label for EPA rules </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46"/>
              </w:rPr>
              <w:drawing>
                <wp:inline distT="0" distB="0" distL="0" distR="0">
                  <wp:extent cx="4752000" cy="4370400"/>
                  <wp:effectExtent b="0" l="0" r="0" t="0"/>
                  <wp:docPr id="89299731" name="name5872647114a11605d" descr="Etichette_per_norme_E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EPA.jpg"/>
                          <pic:cNvPicPr/>
                        </pic:nvPicPr>
                        <pic:blipFill>
                          <a:blip r:embed="rId3584647114a116059" cstate="print"/>
                          <a:stretch>
                            <a:fillRect/>
                          </a:stretch>
                        </pic:blipFill>
                        <pic:spPr>
                          <a:xfrm>
                            <a:off x="0" y="0"/>
                            <a:ext cx="4752000" cy="4370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China Standards</w:t>
            </w:r>
            <w:r>
              <w:rPr>
                <w:color w:val="00274C"/>
                <w:position w:val="-2"/>
                <w:sz w:val="20"/>
                <w:szCs w:val="20"/>
                <w:u w:val="none"/>
              </w:rPr>
              <w:t xml:space="preserve"> </w:t>
            </w:r>
            <w:r>
              <w:rPr>
                <w:b/>
                <w:bCs/>
                <w:color w:val="00274C"/>
                <w:position w:val="-2"/>
                <w:sz w:val="20"/>
                <w:szCs w:val="20"/>
                <w:u w:val="none"/>
              </w:rPr>
              <w:t xml:space="preserve"> (compilation example)</w:t>
            </w:r>
          </w:p>
          <w:p/>
          <w:p/>
          <w:p>
            <w:pPr>
              <w:widowControl w:val="on"/>
              <w:pBdr/>
              <w:spacing w:before="0" w:after="0" w:line="262" w:lineRule="auto"/>
              <w:ind w:left="0" w:right="0"/>
              <w:jc w:val="left"/>
              <w:textAlignment w:val="center"/>
            </w:pPr>
            <w:r>
              <w:rPr>
                <w:position w:val="-347"/>
              </w:rPr>
              <w:drawing>
                <wp:inline distT="0" distB="0" distL="0" distR="0">
                  <wp:extent cx="4752000" cy="4384800"/>
                  <wp:effectExtent b="0" l="0" r="0" t="0"/>
                  <wp:docPr id="75978227" name="name4635647114a12749c" descr="Etichette_per_norme_Cina_n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new.jpg"/>
                          <pic:cNvPicPr/>
                        </pic:nvPicPr>
                        <pic:blipFill>
                          <a:blip r:embed="rId7109647114a127498" cstate="print"/>
                          <a:stretch>
                            <a:fillRect/>
                          </a:stretch>
                        </pic:blipFill>
                        <pic:spPr>
                          <a:xfrm>
                            <a:off x="0" y="0"/>
                            <a:ext cx="4752000" cy="438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Label for Korea Standards</w:t>
            </w:r>
            <w:r>
              <w:rPr>
                <w:color w:val="00274C"/>
                <w:position w:val="-2"/>
                <w:sz w:val="20"/>
                <w:szCs w:val="20"/>
                <w:u w:val="none"/>
              </w:rPr>
              <w:t xml:space="preserve"> </w:t>
            </w:r>
            <w:r>
              <w:rPr>
                <w:b/>
                <w:bCs/>
                <w:color w:val="00274C"/>
                <w:position w:val="-2"/>
                <w:sz w:val="20"/>
                <w:szCs w:val="20"/>
                <w:u w:val="none"/>
              </w:rPr>
              <w:t xml:space="preserve">(compilation example)</w:t>
            </w:r>
          </w:p>
          <w:p/>
          <w:p/>
          <w:p>
            <w:pPr>
              <w:widowControl w:val="on"/>
              <w:pBdr/>
              <w:spacing w:before="0" w:after="0" w:line="262" w:lineRule="auto"/>
              <w:ind w:left="0" w:right="0"/>
              <w:jc w:val="left"/>
              <w:textAlignment w:val="center"/>
            </w:pPr>
            <w:r>
              <w:rPr>
                <w:position w:val="-318"/>
              </w:rPr>
              <w:drawing>
                <wp:inline distT="0" distB="0" distL="0" distR="0">
                  <wp:extent cx="4752000" cy="4024800"/>
                  <wp:effectExtent b="0" l="0" r="0" t="0"/>
                  <wp:docPr id="42075735" name="name7557647114a139576" descr="Etichette_per_norme_C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jpg"/>
                          <pic:cNvPicPr/>
                        </pic:nvPicPr>
                        <pic:blipFill>
                          <a:blip r:embed="rId7069647114a13956f" cstate="print"/>
                          <a:stretch>
                            <a:fillRect/>
                          </a:stretch>
                        </pic:blipFill>
                        <pic:spPr>
                          <a:xfrm>
                            <a:off x="0" y="0"/>
                            <a:ext cx="4752000" cy="40248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tc>
      </w:tr>
    </w:tbl>
    <w:p>
      <w:pPr>
        <w:widowControl w:val="on"/>
        <w:pBdr/>
        <w:spacing w:before="0" w:after="0" w:line="262" w:lineRule="auto"/>
        <w:ind w:left="0" w:right="0"/>
        <w:jc w:val="left"/>
      </w:pPr>
      <w:r>
        <w:rPr>
          <w:color w:val="00274C"/>
          <w:sz w:val="20"/>
          <w:szCs w:val="20"/>
          <w:u w:val="none"/>
        </w:rPr>
        <w:t xml:space="preserve"> </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2923">
    <w:multiLevelType w:val="hybridMultilevel"/>
    <w:lvl w:ilvl="0" w:tplc="26513236">
      <w:start w:val="1"/>
      <w:numFmt w:val="decimal"/>
      <w:lvlText w:val="%1."/>
      <w:lvlJc w:val="left"/>
      <w:pPr>
        <w:ind w:left="720" w:hanging="360"/>
      </w:pPr>
    </w:lvl>
    <w:lvl w:ilvl="1" w:tplc="26513236" w:tentative="1">
      <w:start w:val="1"/>
      <w:numFmt w:val="lowerLetter"/>
      <w:lvlText w:val="%2."/>
      <w:lvlJc w:val="left"/>
      <w:pPr>
        <w:ind w:left="1440" w:hanging="360"/>
      </w:pPr>
    </w:lvl>
    <w:lvl w:ilvl="2" w:tplc="26513236" w:tentative="1">
      <w:start w:val="1"/>
      <w:numFmt w:val="lowerRoman"/>
      <w:lvlText w:val="%3."/>
      <w:lvlJc w:val="right"/>
      <w:pPr>
        <w:ind w:left="2160" w:hanging="180"/>
      </w:pPr>
    </w:lvl>
    <w:lvl w:ilvl="3" w:tplc="26513236" w:tentative="1">
      <w:start w:val="1"/>
      <w:numFmt w:val="decimal"/>
      <w:lvlText w:val="%4."/>
      <w:lvlJc w:val="left"/>
      <w:pPr>
        <w:ind w:left="2880" w:hanging="360"/>
      </w:pPr>
    </w:lvl>
    <w:lvl w:ilvl="4" w:tplc="26513236" w:tentative="1">
      <w:start w:val="1"/>
      <w:numFmt w:val="lowerLetter"/>
      <w:lvlText w:val="%5."/>
      <w:lvlJc w:val="left"/>
      <w:pPr>
        <w:ind w:left="3600" w:hanging="360"/>
      </w:pPr>
    </w:lvl>
    <w:lvl w:ilvl="5" w:tplc="26513236" w:tentative="1">
      <w:start w:val="1"/>
      <w:numFmt w:val="lowerRoman"/>
      <w:lvlText w:val="%6."/>
      <w:lvlJc w:val="right"/>
      <w:pPr>
        <w:ind w:left="4320" w:hanging="180"/>
      </w:pPr>
    </w:lvl>
    <w:lvl w:ilvl="6" w:tplc="26513236" w:tentative="1">
      <w:start w:val="1"/>
      <w:numFmt w:val="decimal"/>
      <w:lvlText w:val="%7."/>
      <w:lvlJc w:val="left"/>
      <w:pPr>
        <w:ind w:left="5040" w:hanging="360"/>
      </w:pPr>
    </w:lvl>
    <w:lvl w:ilvl="7" w:tplc="26513236" w:tentative="1">
      <w:start w:val="1"/>
      <w:numFmt w:val="lowerLetter"/>
      <w:lvlText w:val="%8."/>
      <w:lvlJc w:val="left"/>
      <w:pPr>
        <w:ind w:left="5760" w:hanging="360"/>
      </w:pPr>
    </w:lvl>
    <w:lvl w:ilvl="8" w:tplc="26513236" w:tentative="1">
      <w:start w:val="1"/>
      <w:numFmt w:val="lowerRoman"/>
      <w:lvlText w:val="%9."/>
      <w:lvlJc w:val="right"/>
      <w:pPr>
        <w:ind w:left="6480" w:hanging="180"/>
      </w:pPr>
    </w:lvl>
  </w:abstractNum>
  <w:abstractNum w:abstractNumId="12922">
    <w:multiLevelType w:val="hybridMultilevel"/>
    <w:lvl w:ilvl="0" w:tplc="8564212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2922">
    <w:abstractNumId w:val="12922"/>
  </w:num>
  <w:num w:numId="12923">
    <w:abstractNumId w:val="129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92921795" Type="http://schemas.openxmlformats.org/officeDocument/2006/relationships/comments" Target="comments.xml"/><Relationship Id="rId919166007" Type="http://schemas.microsoft.com/office/2011/relationships/commentsExtended" Target="commentsExtended.xml"/><Relationship Id="rId61273438" Type="http://schemas.openxmlformats.org/officeDocument/2006/relationships/image" Target="media/imgrId61273438.jpg"/><Relationship Id="rId2163647114a06c0c6" Type="http://schemas.openxmlformats.org/officeDocument/2006/relationships/hyperlink" Target="http://www.kohlerengines.com/home.htm" TargetMode="External"/><Relationship Id="rId3944647114a06c24e" Type="http://schemas.openxmlformats.org/officeDocument/2006/relationships/hyperlink" Target="http://dealers.kohlerpower.it/" TargetMode="External"/><Relationship Id="rId2795647114a06c738" Type="http://schemas.openxmlformats.org/officeDocument/2006/relationships/hyperlink" Target="http://www.kohlerengines.com/home.htm" TargetMode="External"/><Relationship Id="rId1307647114a0928ad" Type="http://schemas.openxmlformats.org/officeDocument/2006/relationships/image" Target="media/imgrId1307647114a0928ad.jpg"/><Relationship Id="rId1401647114a0c5e0e" Type="http://schemas.openxmlformats.org/officeDocument/2006/relationships/image" Target="media/imgrId1401647114a0c5e0e.jpg"/><Relationship Id="rId6914647114a0d2b29" Type="http://schemas.openxmlformats.org/officeDocument/2006/relationships/image" Target="media/imgrId6914647114a0d2b29.jpg"/><Relationship Id="rId4163647114a0dcb4c" Type="http://schemas.openxmlformats.org/officeDocument/2006/relationships/image" Target="media/imgrId4163647114a0dcb4c.jpg"/><Relationship Id="rId3584647114a116059" Type="http://schemas.openxmlformats.org/officeDocument/2006/relationships/image" Target="media/imgrId3584647114a116059.jpg"/><Relationship Id="rId7109647114a127498" Type="http://schemas.openxmlformats.org/officeDocument/2006/relationships/image" Target="media/imgrId7109647114a127498.jpg"/><Relationship Id="rId7069647114a13956f" Type="http://schemas.openxmlformats.org/officeDocument/2006/relationships/image" Target="media/imgrId7069647114a13956f.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61273438" Type="http://schemas.openxmlformats.org/officeDocument/2006/relationships/image" Target="media/imgrId6127343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61273438" Type="http://schemas.openxmlformats.org/officeDocument/2006/relationships/image" Target="media/imgrId6127343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61273438" Type="http://schemas.openxmlformats.org/officeDocument/2006/relationships/image" Target="media/imgrId6127343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61273438" Type="http://schemas.openxmlformats.org/officeDocument/2006/relationships/image" Target="media/imgrId6127343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61273438" Type="http://schemas.openxmlformats.org/officeDocument/2006/relationships/image" Target="media/imgrId6127343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61273438" Type="http://schemas.openxmlformats.org/officeDocument/2006/relationships/image" Target="media/imgrId6127343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