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Glossary</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Owner Manual KDW 502 | 702 | 1003 | 1404 - K-HEM 1003 (Rev. 00)</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6807200" cy="5110480"/>
            <wp:effectExtent l="0" t="127000" r="0" b="0"/>
            <wp:docPr id="595871431"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46637019" cstate="print"/>
                    <a:stretch>
                      <a:fillRect/>
                    </a:stretch>
                  </pic:blipFill>
                  <pic:spPr>
                    <a:xfrm>
                      <a:off x="0" y="0"/>
                      <a:ext cx="6807200" cy="511048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Registration of modifications to the document</w:t>
      </w:r>
    </w:p>
    <w:p>
      <w:pPr>
        <w:pStyle w:val="Normale"/>
        <w:jc w:val="center"/>
        <w:rPr/>
      </w:pPr>
      <w:r>
        <w:rPr/>
        <w:t xml:space="preserve">Any modifications to this document must be registered by the drafting body, by completing the following table.	</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Edited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Endorsed</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KDW 502-702-1003-1404 - K-HEM 1003</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Translated from the original manual in Italian language</w:t>
      </w:r>
    </w:p>
    <w:p>
      <w:pPr>
        <w:pStyle w:val="Normale"/>
        <w:jc w:val="center"/>
        <w:rPr/>
      </w:pPr>
      <w:r>
        <w:rPr/>
        <w:t xml:space="preserve">Data reported in this issue can be modified at any time by KOHLER.</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22870082" w:name="ctxt"/>
    <w:bookmarkEnd w:id="22870082"/>
    <w:p>
      <w:pPr>
        <w:widowControl w:val="on"/>
        <w:pBdr/>
        <w:spacing w:before="75" w:after="75" w:line="240" w:lineRule="auto"/>
        <w:ind w:left="75" w:right="75"/>
        <w:jc w:val="left"/>
      </w:pPr>
    </w:p>
    <w:p>
      <w:pPr>
        <w:pStyle w:val="Titolo1"/>
      </w:pPr>
      <w:r>
        <w:rPr/>
        <w:t xml:space="preserve">Glossary</w:t>
      </w:r>
    </w:p>
    <w:p>
      <w:pPr>
        <w:widowControl w:val="on"/>
        <w:pBdr/>
        <w:spacing w:before="0" w:after="0" w:line="240" w:lineRule="auto"/>
        <w:ind w:left="0" w:right="0"/>
        <w:jc w:val="left"/>
      </w:pPr>
    </w:p>
    <w:p>
      <w:pPr>
        <w:pStyle w:val="Titolo2"/>
      </w:pPr>
      <w:r>
        <w:rPr/>
        <w:t xml:space="preserve">Glossary</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tcW w:w="0" w:type="auto"/>
            <w:vMerge w:val="restart"/>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Alternator:</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 component that transforms mechanical energy into AC electrical energy.</w:t>
            </w:r>
          </w:p>
        </w:tc>
      </w:tr>
      <w:tr>
        <w:trPr>
          <w:trHeight w:val="0" w:hRule="atLeast"/>
        </w:trPr>
        <w:tc>
          <w:tcPr>
            <w:gridSpan w:val="1"/>
            <w:vMerge w:val="continue"/>
          </w:tcP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Authorised service station: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KOHLER</w:t>
            </w:r>
            <w:r>
              <w:rPr>
                <w:color w:val="00274C"/>
                <w:position w:val="0"/>
                <w:sz w:val="20"/>
                <w:szCs w:val="20"/>
                <w:u w:val="none"/>
              </w:rPr>
              <w:t xml:space="preserve">  authorised workshop.</w:t>
            </w:r>
          </w:p>
        </w:tc>
      </w:tr>
      <w:tr>
        <w:trPr>
          <w:trHeight w:val="0" w:hRule="atLeast"/>
        </w:trPr>
        <w:tc>
          <w:tcPr>
            <w:gridSpan w:val="1"/>
            <w:vMerge w:val="continue"/>
          </w:tcP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Authorised workshop: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KOHLER</w:t>
            </w:r>
            <w:r>
              <w:rPr>
                <w:color w:val="00274C"/>
                <w:position w:val="0"/>
                <w:sz w:val="20"/>
                <w:szCs w:val="20"/>
                <w:u w:val="none"/>
              </w:rPr>
              <w:t xml:space="preserve">  authorised service centre.</w:t>
            </w:r>
          </w:p>
        </w:tc>
      </w:tr>
    </w:tbl>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Bore</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Internal diameter of the cylinder in combustion engines.</w:t>
            </w:r>
          </w:p>
        </w:tc>
      </w:tr>
    </w:tbl>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tcW w:w="0" w:type="auto"/>
            <w:vMerge w:val="restart"/>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Combustion:</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Chemical reaction of a mixture composed of fuel and fuel (air) inside a combustion chamber.</w:t>
            </w:r>
          </w:p>
        </w:tc>
      </w:tr>
      <w:tr>
        <w:trPr>
          <w:trHeight w:val="0" w:hRule="atLeast"/>
        </w:trPr>
        <w:tc>
          <w:tcPr>
            <w:gridSpan w:val="1"/>
            <w:vMerge w:val="continue"/>
          </w:tcP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Crankshaft: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component that transforms straight operation into rotary operation, and vice-versa.</w:t>
            </w:r>
          </w:p>
        </w:tc>
      </w:tr>
    </w:tbl>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EC:</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"European Community".</w:t>
            </w:r>
          </w:p>
        </w:tc>
      </w:tr>
    </w:tbl>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tcW w:w="0" w:type="auto"/>
            <w:vMerge w:val="restart"/>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F</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Fig.:</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Figure.</w:t>
            </w:r>
          </w:p>
        </w:tc>
      </w:tr>
      <w:tr>
        <w:trPr>
          <w:trHeight w:val="0" w:hRule="atLeast"/>
        </w:trPr>
        <w:tc>
          <w:tcPr>
            <w:gridSpan w:val="1"/>
            <w:vMerge w:val="continue"/>
          </w:tcP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Functional units: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Component, or group of main components, able to carry out specific functions on the engine.</w:t>
            </w:r>
          </w:p>
        </w:tc>
      </w:tr>
    </w:tbl>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G</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Galvanised:</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Material that has undergone surface protection treatment.</w:t>
            </w:r>
          </w:p>
        </w:tc>
      </w:tr>
    </w:tbl>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H</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Heavy conditions:</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Type of extreme condition referred to the work environment in which the engine is used (very dusty - dirty area, or in a contaminated environment due to various types of gas).</w:t>
            </w:r>
          </w:p>
        </w:tc>
      </w:tr>
    </w:tbl>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tcW w:w="0" w:type="auto"/>
            <w:vMerge w:val="restart"/>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Maintenance - periodic</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 group of maintenance actions that have the sole objective to control and replace elements on their expiry, without modifying or improving the functions carried out by the system, neither increasing the value nor improving performance.</w:t>
            </w:r>
          </w:p>
        </w:tc>
      </w:tr>
      <w:tr>
        <w:trPr>
          <w:trHeight w:val="0" w:hRule="atLeast"/>
        </w:trPr>
        <w:tc>
          <w:tcPr>
            <w:gridSpan w:val="1"/>
            <w:vMerge w:val="continue"/>
          </w:tcP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MAX:</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Maximum.</w:t>
            </w:r>
          </w:p>
        </w:tc>
      </w:tr>
      <w:tr>
        <w:trPr>
          <w:trHeight w:val="0" w:hRule="atLeast"/>
        </w:trPr>
        <w:tc>
          <w:tcPr>
            <w:gridSpan w:val="1"/>
            <w:vMerge w:val="continue"/>
          </w:tcP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Methyl ester: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It is a mixture of products by means of a chemical conversion of oils and animal and/or vegetable fat, which is used to produce Biofuel.</w:t>
            </w:r>
          </w:p>
        </w:tc>
      </w:tr>
      <w:tr>
        <w:trPr>
          <w:trHeight w:val="0" w:hRule="atLeast"/>
        </w:trPr>
        <w:tc>
          <w:tcPr>
            <w:gridSpan w:val="1"/>
            <w:vMerge w:val="continue"/>
          </w:tcP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Minutes.</w:t>
            </w:r>
          </w:p>
        </w:tc>
      </w:tr>
      <w:tr>
        <w:trPr>
          <w:trHeight w:val="0" w:hRule="atLeast"/>
        </w:trPr>
        <w:tc>
          <w:tcPr>
            <w:gridSpan w:val="1"/>
            <w:vMerge w:val="continue"/>
          </w:tcP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Minimum.</w:t>
            </w:r>
          </w:p>
        </w:tc>
      </w:tr>
      <w:tr>
        <w:trPr>
          <w:trHeight w:val="0" w:hRule="atLeast"/>
        </w:trPr>
        <w:tc>
          <w:tcPr>
            <w:gridSpan w:val="1"/>
            <w:vMerge w:val="continue"/>
          </w:tcP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Model: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Model, engine identification plate, which indicates the engine's model.</w:t>
            </w:r>
          </w:p>
        </w:tc>
      </w:tr>
    </w:tbl>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tcW w:w="0" w:type="auto"/>
            <w:vMerge w:val="restart"/>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Par.:</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Paragraph.</w:t>
            </w:r>
          </w:p>
        </w:tc>
      </w:tr>
      <w:tr>
        <w:trPr>
          <w:trHeight w:val="0" w:hRule="atLeast"/>
        </w:trPr>
        <w:tc>
          <w:tcPr>
            <w:gridSpan w:val="1"/>
            <w:vMerge w:val="continue"/>
          </w:tcP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Paraffin.: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Fatty and solid substance that may form inside the diesel.</w:t>
            </w:r>
          </w:p>
        </w:tc>
      </w:tr>
      <w:tr>
        <w:trPr>
          <w:trHeight w:val="0" w:hRule="atLeast"/>
        </w:trPr>
        <w:tc>
          <w:tcPr>
            <w:gridSpan w:val="1"/>
            <w:vMerge w:val="continue"/>
          </w:tcP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PTO:</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Power Take Off - a point provided to take advantage of alternative operation transmission.</w:t>
            </w:r>
          </w:p>
        </w:tc>
      </w:tr>
    </w:tbl>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tcW w:w="0" w:type="auto"/>
            <w:vMerge w:val="restart"/>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R</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Ref.:</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Reference.</w:t>
            </w:r>
          </w:p>
        </w:tc>
      </w:tr>
      <w:tr>
        <w:trPr>
          <w:trHeight w:val="0" w:hRule="atLeast"/>
        </w:trPr>
        <w:tc>
          <w:tcPr>
            <w:gridSpan w:val="1"/>
            <w:vMerge w:val="continue"/>
          </w:tcP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Rpm:</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Rounds per minute.</w:t>
            </w:r>
          </w:p>
        </w:tc>
      </w:tr>
    </w:tbl>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tcW w:w="0" w:type="auto"/>
            <w:vMerge w:val="restart"/>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s/n:</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Serial number (engine identification name plate) indicating the engine identification series/chassis number.</w:t>
            </w:r>
          </w:p>
        </w:tc>
      </w:tr>
      <w:tr>
        <w:trPr>
          <w:trHeight w:val="0" w:hRule="atLeast"/>
        </w:trPr>
        <w:tc>
          <w:tcPr>
            <w:gridSpan w:val="1"/>
            <w:vMerge w:val="continue"/>
          </w:tcP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Spec.: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Specification, (engine identification name plate) indicating the engine version.</w:t>
            </w:r>
          </w:p>
        </w:tc>
      </w:tr>
      <w:tr>
        <w:trPr>
          <w:trHeight w:val="0" w:hRule="atLeast"/>
        </w:trPr>
        <w:tc>
          <w:tcPr>
            <w:gridSpan w:val="1"/>
            <w:vMerge w:val="continue"/>
          </w:tcP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STD:</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(Standard), base configuration of a component, or a group of components.</w:t>
            </w:r>
          </w:p>
        </w:tc>
      </w:tr>
    </w:tbl>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tcW w:w="0" w:type="auto"/>
            <w:vMerge w:val="restart"/>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Tab.:</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Table.</w:t>
            </w:r>
          </w:p>
        </w:tc>
      </w:tr>
      <w:tr>
        <w:trPr>
          <w:trHeight w:val="0" w:hRule="atLeast"/>
        </w:trPr>
        <w:tc>
          <w:tcPr>
            <w:gridSpan w:val="1"/>
            <w:vMerge w:val="continue"/>
          </w:tcP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Thermostatic valve: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valve that adjusts the flow of coolant liquid; it is able to operate by means of temperature variation.</w:t>
            </w:r>
          </w:p>
        </w:tc>
      </w:tr>
      <w:tr>
        <w:trPr>
          <w:trHeight w:val="0" w:hRule="atLeast"/>
        </w:trPr>
        <w:tc>
          <w:tcPr>
            <w:gridSpan w:val="1"/>
            <w:vMerge w:val="continue"/>
          </w:tcP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Torque: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Force applied to an object that rotates on an idler shaft.</w:t>
            </w:r>
          </w:p>
        </w:tc>
      </w:tr>
    </w:tbl>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U</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Used oil:</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Oil altered by operation or time, which is no longer compliant for correct lubrication of the components.</w:t>
            </w:r>
          </w:p>
        </w:tc>
      </w:tr>
    </w:tbl>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W</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Warning Lamp:</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 warning light (usually red) that indicates a serious anomaly during engine operation.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15.1</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gridSpan w:val="4"/>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SYMBOLS AND UNITS OF MEASUREMENT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 OF MEASUREMENT</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DESCRIPTION</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EXAMPLE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Rotation/inclination angle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2</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square centimetre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Area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Circumference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Torque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Length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µm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1/1000 of a millimetre (micron)</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µm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Time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grammes per kilowatt per 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Specific consumption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g/kWh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 per 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Max. flow 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Lt./min.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minute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Flow 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Lt./min.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hour</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parts per million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Percentage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Force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Ampere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Intensity of electrical current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Watt</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Power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kiloWatt</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pascal</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Pressure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Kilopascal</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mbar (1/1000 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to electrical current (referred to a component)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Ω</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ohm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of electrical current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revs per minute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 of an axis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average roughness expressed in microns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Roughness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 centigrade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Temperature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1°C</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Electrical voltage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V</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27163934" name="name797364ad13b60e569"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969864ad13b60e565" cstate="print"/>
                          <a:stretch>
                            <a:fillRect/>
                          </a:stretch>
                        </pic:blipFill>
                        <pic:spPr>
                          <a:xfrm>
                            <a:off x="0" y="0"/>
                            <a:ext cx="64800" cy="72000"/>
                          </a:xfrm>
                          <a:prstGeom prst="rect">
                            <a:avLst/>
                          </a:prstGeom>
                          <a:ln w="0">
                            <a:noFill/>
                          </a:ln>
                        </pic:spPr>
                      </pic:pic>
                    </a:graphicData>
                  </a:graphic>
                </wp:inline>
              </w:drawing>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Hex-head capscrew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84739073" name="name486564ad13b614b39"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268364ad13b614b35" cstate="print"/>
                          <a:stretch>
                            <a:fillRect/>
                          </a:stretch>
                        </pic:blipFill>
                        <pic:spPr>
                          <a:xfrm>
                            <a:off x="0" y="0"/>
                            <a:ext cx="64800" cy="72000"/>
                          </a:xfrm>
                          <a:prstGeom prst="rect">
                            <a:avLst/>
                          </a:prstGeom>
                          <a:ln w="0">
                            <a:noFill/>
                          </a:ln>
                        </pic:spPr>
                      </pic:pic>
                    </a:graphicData>
                  </a:graphic>
                </wp:inline>
              </w:drawing>
            </w:r>
            <w:r>
              <w:rPr>
                <w:color w:val="00274C"/>
                <w:position w:val="-2"/>
                <w:sz w:val="20"/>
                <w:szCs w:val="20"/>
                <w:u w:val="none"/>
                <w:shd w:val="clear" w:color="auto" w:fill="E1E2E0"/>
              </w:rPr>
              <w:t xml:space="preserve">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cubic centimetre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Volume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w:t>
            </w:r>
          </w:p>
        </w:tc>
      </w:tr>
    </w:tbl>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11224">
    <w:multiLevelType w:val="hybridMultilevel"/>
    <w:lvl w:ilvl="0" w:tplc="54123797">
      <w:start w:val="1"/>
      <w:numFmt w:val="decimal"/>
      <w:lvlText w:val="%1."/>
      <w:lvlJc w:val="left"/>
      <w:pPr>
        <w:ind w:left="720" w:hanging="360"/>
      </w:pPr>
    </w:lvl>
    <w:lvl w:ilvl="1" w:tplc="54123797" w:tentative="1">
      <w:start w:val="1"/>
      <w:numFmt w:val="lowerLetter"/>
      <w:lvlText w:val="%2."/>
      <w:lvlJc w:val="left"/>
      <w:pPr>
        <w:ind w:left="1440" w:hanging="360"/>
      </w:pPr>
    </w:lvl>
    <w:lvl w:ilvl="2" w:tplc="54123797" w:tentative="1">
      <w:start w:val="1"/>
      <w:numFmt w:val="lowerRoman"/>
      <w:lvlText w:val="%3."/>
      <w:lvlJc w:val="right"/>
      <w:pPr>
        <w:ind w:left="2160" w:hanging="180"/>
      </w:pPr>
    </w:lvl>
    <w:lvl w:ilvl="3" w:tplc="54123797" w:tentative="1">
      <w:start w:val="1"/>
      <w:numFmt w:val="decimal"/>
      <w:lvlText w:val="%4."/>
      <w:lvlJc w:val="left"/>
      <w:pPr>
        <w:ind w:left="2880" w:hanging="360"/>
      </w:pPr>
    </w:lvl>
    <w:lvl w:ilvl="4" w:tplc="54123797" w:tentative="1">
      <w:start w:val="1"/>
      <w:numFmt w:val="lowerLetter"/>
      <w:lvlText w:val="%5."/>
      <w:lvlJc w:val="left"/>
      <w:pPr>
        <w:ind w:left="3600" w:hanging="360"/>
      </w:pPr>
    </w:lvl>
    <w:lvl w:ilvl="5" w:tplc="54123797" w:tentative="1">
      <w:start w:val="1"/>
      <w:numFmt w:val="lowerRoman"/>
      <w:lvlText w:val="%6."/>
      <w:lvlJc w:val="right"/>
      <w:pPr>
        <w:ind w:left="4320" w:hanging="180"/>
      </w:pPr>
    </w:lvl>
    <w:lvl w:ilvl="6" w:tplc="54123797" w:tentative="1">
      <w:start w:val="1"/>
      <w:numFmt w:val="decimal"/>
      <w:lvlText w:val="%7."/>
      <w:lvlJc w:val="left"/>
      <w:pPr>
        <w:ind w:left="5040" w:hanging="360"/>
      </w:pPr>
    </w:lvl>
    <w:lvl w:ilvl="7" w:tplc="54123797" w:tentative="1">
      <w:start w:val="1"/>
      <w:numFmt w:val="lowerLetter"/>
      <w:lvlText w:val="%8."/>
      <w:lvlJc w:val="left"/>
      <w:pPr>
        <w:ind w:left="5760" w:hanging="360"/>
      </w:pPr>
    </w:lvl>
    <w:lvl w:ilvl="8" w:tplc="54123797" w:tentative="1">
      <w:start w:val="1"/>
      <w:numFmt w:val="lowerRoman"/>
      <w:lvlText w:val="%9."/>
      <w:lvlJc w:val="right"/>
      <w:pPr>
        <w:ind w:left="6480" w:hanging="180"/>
      </w:pPr>
    </w:lvl>
  </w:abstractNum>
  <w:abstractNum w:abstractNumId="11223">
    <w:multiLevelType w:val="hybridMultilevel"/>
    <w:lvl w:ilvl="0" w:tplc="6741460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11223">
    <w:abstractNumId w:val="11223"/>
  </w:num>
  <w:num w:numId="11224">
    <w:abstractNumId w:val="112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271449373" Type="http://schemas.openxmlformats.org/officeDocument/2006/relationships/comments" Target="comments.xml"/><Relationship Id="rId827426764" Type="http://schemas.microsoft.com/office/2011/relationships/commentsExtended" Target="commentsExtended.xml"/><Relationship Id="rId46637019" Type="http://schemas.openxmlformats.org/officeDocument/2006/relationships/image" Target="media/imgrId46637019.jpg"/><Relationship Id="rId969864ad13b60e565" Type="http://schemas.openxmlformats.org/officeDocument/2006/relationships/image" Target="media/imgrId969864ad13b60e565.png"/><Relationship Id="rId268364ad13b614b35" Type="http://schemas.openxmlformats.org/officeDocument/2006/relationships/image" Target="media/imgrId268364ad13b614b35.pn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46637019" Type="http://schemas.openxmlformats.org/officeDocument/2006/relationships/image" Target="media/imgrId46637019.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46637019" Type="http://schemas.openxmlformats.org/officeDocument/2006/relationships/image" Target="media/imgrId46637019.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46637019" Type="http://schemas.openxmlformats.org/officeDocument/2006/relationships/image" Target="media/imgrId46637019.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46637019" Type="http://schemas.openxmlformats.org/officeDocument/2006/relationships/image" Target="media/imgrId46637019.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46637019" Type="http://schemas.openxmlformats.org/officeDocument/2006/relationships/image" Target="media/imgrId46637019.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46637019" Type="http://schemas.openxmlformats.org/officeDocument/2006/relationships/image" Target="media/imgrId46637019.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