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Verwendung und Wartung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7867943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483192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6390245" w:name="ctxt"/>
    <w:bookmarkEnd w:id="26390245"/>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TECHNISCHE MERKMALE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70279400" name="name994765c4f295daa2c"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741865c4f295daa26"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35195777" name="name526365c4f295e8cdd"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66465c4f295e8cd8"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MOTORMODELL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MAXIMALE NEIGUNG WÄHREND DES BETRIEBS (auch kombiniert)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ÖLMENGE (Füllstand MAX.) mit installiertem Ölfilter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Standard-Ausführung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mit einer Vorrichtung zum Massenausgleich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TROCKENGEWICHT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844000"/>
            <wp:effectExtent b="0" l="0" r="0" t="0"/>
            <wp:docPr id="87743952" name="name414465c4f29606f3f"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343365c4f29606f3b"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505291" name="name114665c4f2960ef5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1965c4f2960ef5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7944"/>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27944"/>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27944"/>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27944"/>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27944"/>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883849" name="name196665c4f296164c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3465c4f296164c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7944"/>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27944"/>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27944"/>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27944"/>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27944"/>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7944"/>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27944"/>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27944"/>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0743868" name="name656065c4f29623d8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5965c4f29623d8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7944"/>
              </w:numPr>
              <w:spacing w:before="0" w:after="0" w:line="262" w:lineRule="auto"/>
              <w:jc w:val="left"/>
              <w:rPr>
                <w:color w:val="00274C"/>
                <w:sz w:val="20"/>
                <w:szCs w:val="20"/>
              </w:rPr>
            </w:pPr>
            <w:r>
              <w:rPr>
                <w:color w:val="00274C"/>
                <w:position w:val="-2"/>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27944"/>
              </w:numPr>
              <w:spacing w:before="0" w:after="0" w:line="262" w:lineRule="auto"/>
              <w:jc w:val="left"/>
              <w:rPr>
                <w:color w:val="00274C"/>
                <w:sz w:val="20"/>
                <w:szCs w:val="20"/>
              </w:rPr>
            </w:pPr>
            <w:r>
              <w:rPr>
                <w:color w:val="00274C"/>
                <w:position w:val="-2"/>
                <w:sz w:val="20"/>
                <w:szCs w:val="20"/>
                <w:u w:val="none"/>
              </w:rPr>
              <w:t xml:space="preserve">Bei Störungen, die durch die Verwendung anderer als der vorgeschriebenen Kraftstoffe entstehen, erlischt die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5384737" name="name851065c4f2962b8f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28165c4f2962b8f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Warnung</w:t>
            </w:r>
          </w:p>
          <w:p>
            <w:pPr>
              <w:numPr>
                <w:ilvl w:val="0"/>
                <w:numId w:val="27944"/>
              </w:numPr>
              <w:spacing w:before="0" w:after="0" w:line="262" w:lineRule="auto"/>
              <w:jc w:val="left"/>
              <w:rPr>
                <w:color w:val="00274C"/>
                <w:sz w:val="20"/>
                <w:szCs w:val="20"/>
              </w:rPr>
            </w:pPr>
            <w:r>
              <w:rPr>
                <w:color w:val="00274C"/>
                <w:position w:val="0"/>
                <w:sz w:val="20"/>
                <w:szCs w:val="20"/>
                <w:u w:val="none"/>
              </w:rPr>
              <w:t xml:space="preserve">Sauberer Kraftstoff verhindert, dass die Kraftstoffinjektoren verstopfen. Beim Nachfüllen sofort verschütteten Kraftstoff beseitigen. </w:t>
            </w:r>
          </w:p>
          <w:p>
            <w:pPr>
              <w:numPr>
                <w:ilvl w:val="0"/>
                <w:numId w:val="27944"/>
              </w:numPr>
              <w:spacing w:before="0" w:after="0" w:line="262" w:lineRule="auto"/>
              <w:jc w:val="left"/>
              <w:rPr>
                <w:color w:val="00274C"/>
                <w:sz w:val="20"/>
                <w:szCs w:val="20"/>
              </w:rPr>
            </w:pPr>
            <w:r>
              <w:rPr>
                <w:color w:val="00274C"/>
                <w:position w:val="0"/>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numPr>
                <w:ilvl w:val="0"/>
                <w:numId w:val="27944"/>
              </w:numPr>
              <w:spacing w:before="0" w:after="0" w:line="262" w:lineRule="auto"/>
              <w:jc w:val="left"/>
              <w:rPr>
                <w:color w:val="00274C"/>
                <w:sz w:val="20"/>
                <w:szCs w:val="20"/>
              </w:rPr>
            </w:pPr>
            <w:r>
              <w:rPr>
                <w:color w:val="00274C"/>
                <w:position w:val="0"/>
                <w:sz w:val="20"/>
                <w:szCs w:val="20"/>
                <w:u w:val="none"/>
              </w:rPr>
              <w:t xml:space="preserve">Jeder Fehler, der durch die Verwendung eines anderen Kraftstoffs als </w:t>
            </w:r>
            <w:r>
              <w:rPr>
                <w:b/>
                <w:bCs/>
                <w:color w:val="00274C"/>
                <w:position w:val="0"/>
                <w:sz w:val="20"/>
                <w:szCs w:val="20"/>
                <w:u w:val="none"/>
              </w:rPr>
              <w:t xml:space="preserve">Tab. 2.3, 2.4</w:t>
            </w:r>
            <w:r>
              <w:rPr>
                <w:color w:val="00274C"/>
                <w:position w:val="0"/>
                <w:sz w:val="20"/>
                <w:szCs w:val="20"/>
                <w:u w:val="none"/>
              </w:rPr>
              <w:t xml:space="preserve"> fallen nicht unter die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Cetanzahl von mindestens 40. Eine Cetanzahl größer als 47 wird bevorzugt, insbesondere bei Temperaturen unter –20 °C (–4 °F) oder Höhen über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Zertifizierung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Anmerkungen</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In den Regionen, die als Dieselkraftstoff mit schlechter Schmierfähigkeit bekannt sind, oder wenn der Motor mit Düsentreibstoffen betrieben wird, muss der Primärfilter über eine Schmiermitteldosierung verfügen. Wenden Sie sich an Kohler, um Informationen zu zugelassenen Filtern für diesen Zweck zu erhalten.</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Kraftstofftyp --&gt;</w:t>
                  </w: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KEINE Pflanzenöle als Biokraftstoff, die nicht mit der Vorschrift EN590 konform sind.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Leistung und Drehmoment können aufgrund der geringen Kraftstoffdichte im Vergleich zu Standard-Dieselkraftstoff 1 % bis 5 % niedriger sein.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Militärischer NATO-Kraftstoff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Verwenden Sie bei Umgebungstemperaturen unter 0 °C (32 °F) ohne arktischen Kraftstoff (Klasse 1-D S15, Klasse 2-D S15, ASTM D 975) die folgenden Additive, um mögliche Motorschäden bei niedriger Motorlast im kaltem Wetter zu vermeiden: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44"/>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Andere Additive sind nicht erlaubt.</w:t>
                  </w:r>
                </w:p>
                <w:p>
                  <w:pPr>
                    <w:widowControl w:val="on"/>
                    <w:pBdr/>
                    <w:spacing w:before="0" w:after="0" w:line="262" w:lineRule="auto"/>
                    <w:ind w:left="0" w:right="0"/>
                    <w:jc w:val="left"/>
                    <w:textAlignment w:val="center"/>
                  </w:pPr>
                  <w:r>
                    <w:rPr>
                      <w:color w:val="00274C"/>
                      <w:position w:val="-2"/>
                      <w:sz w:val="20"/>
                      <w:szCs w:val="20"/>
                      <w:u w:val="none"/>
                    </w:rPr>
                    <w:t xml:space="preserve">Die Verwendung zugelassener Additive hat keinen Einfluss auf den Wartungsplan des Motors.</w:t>
                  </w:r>
                </w:p>
                <w:p/>
                <w:p/>
                <w:p>
                  <w:pPr>
                    <w:widowControl w:val="on"/>
                    <w:pBdr/>
                    <w:spacing w:before="0" w:after="0" w:line="262" w:lineRule="auto"/>
                    <w:ind w:left="0" w:right="0"/>
                    <w:jc w:val="left"/>
                    <w:textAlignment w:val="center"/>
                  </w:pPr>
                  <w:r>
                    <w:rPr>
                      <w:color w:val="00274C"/>
                      <w:position w:val="-2"/>
                      <w:sz w:val="20"/>
                      <w:szCs w:val="20"/>
                      <w:u w:val="none"/>
                    </w:rPr>
                    <w:t xml:space="preserve">Verwenden Sie KEINE Pflanzenöle als Biokraftstoff, die nicht mit der Vorschrift ASTM D975 Grade 1 und Grade 2 konform sind.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Schwefelbrennstoff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Schwefelbrennstoff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 mit hohem Schwefelgehalt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Kraftstoff mit hohem Schwefelgehalt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(Kerosin, NATO-Bezeichnung)</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Betrieb mit Düsentreibstoffen</w:t>
                  </w:r>
                </w:p>
                <w:p/>
                <w:p/>
                <w:p>
                  <w:pPr>
                    <w:widowControl w:val="on"/>
                    <w:pBdr/>
                    <w:spacing w:before="0" w:after="0" w:line="262" w:lineRule="auto"/>
                    <w:ind w:left="0" w:right="0"/>
                    <w:jc w:val="left"/>
                    <w:textAlignment w:val="center"/>
                  </w:pPr>
                  <w:r>
                    <w:rPr>
                      <w:color w:val="00274C"/>
                      <w:position w:val="-2"/>
                      <w:sz w:val="20"/>
                      <w:szCs w:val="20"/>
                      <w:u w:val="none"/>
                    </w:rPr>
                    <w:t xml:space="preserve">Unter den aufgeführten Kerosinen gibt es einige problematische Treibstoffeigenschaften (Viskosität, Schmierfähigkeit und niedriger Siedepunkt). Es ist mit einem leicht erhöhten Verschleiß im Einspritzsystem zu rechnen, was zu einer statistisch geringeren Lebensdauer dieser Komponenten führen kann. Der Schwefelgehalt muss unter 2000 ppm liegen.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(Kerosin, NATO-Bezeichnung)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(Kerosin, NATO-Bezeichnung, entspricht F-34/F-35 mit Additiven)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(Kerosin, US-Militärbezeichnung)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(Kerosin, US-Militärbezeichnung)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(Kerosin für die Zivilluftfahrt)</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(Kerosin für die Zivilluftfahrt)</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KRAFTSTOFFADDITIVE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center"/>
                  </w:pPr>
                  <w:r>
                    <w:rPr>
                      <w:b/>
                      <w:bCs/>
                      <w:color w:val="00274C"/>
                      <w:position w:val="0"/>
                      <w:sz w:val="20"/>
                      <w:szCs w:val="20"/>
                      <w:u w:val="none"/>
                    </w:rPr>
                    <w:t xml:space="preserve">Anmerkungen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Kraftstoffadditive mit Biozid-/Algizidfunktion sind nur bei längerer Lagerung des Kraftstoffs im Tank (ein Jahr oder länger) zulässig.</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Wenden Sie sich für empfohlene Marken und Typen an Kohler-Mitarbeiter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Diese Additive müssen beim Befüllen des Tanks gemäß den vom Produkt vorgeschriebenen Prozentsätzen im Kraftstoff verdünnt werden.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 mit anderen Funktionen als Biozid / Algizid sind nicht erlaubt.</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7944"/>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27944"/>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1247258" name="name996065c4f2963e7b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33065c4f2963e7a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7944"/>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27944"/>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der </w:t>
            </w:r>
            <w:r>
              <w:rPr>
                <w:b/>
                <w:bCs/>
                <w:color w:val="00274C"/>
                <w:position w:val="-2"/>
                <w:sz w:val="20"/>
                <w:szCs w:val="20"/>
                <w:u w:val="none"/>
              </w:rPr>
              <w:t xml:space="preserve">Tab. 2.8</w:t>
            </w:r>
            <w:r>
              <w:rPr>
                <w:color w:val="00274C"/>
                <w:position w:val="-2"/>
                <w:sz w:val="20"/>
                <w:szCs w:val="20"/>
                <w:u w:val="none"/>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Schlüsselschalter zum Einschalten von Schalttafel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zur Anzeige der Motordaten und -fehler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oberes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Navigationspfeiltaste unteres Menü</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Taste zur Auswahl oder Eingaben von 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LED Motorbetriebsstatus (grün = keine Störung ermittelt)</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53934360" name="name227965c4f2964c3c5"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962765c4f2964c3c1"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Wenn die LED </w:t>
            </w:r>
            <w:r>
              <w:rPr>
                <w:b/>
                <w:bCs/>
                <w:color w:val="00274C"/>
                <w:position w:val="-2"/>
                <w:sz w:val="20"/>
                <w:szCs w:val="20"/>
                <w:u w:val="none"/>
              </w:rPr>
              <w:t xml:space="preserve">F</w:t>
            </w:r>
            <w:r>
              <w:rPr>
                <w:color w:val="00274C"/>
                <w:position w:val="-2"/>
                <w:sz w:val="20"/>
                <w:szCs w:val="20"/>
                <w:u w:val="none"/>
              </w:rPr>
              <w:t xml:space="preserve"> rot aufleuchtet, die </w:t>
            </w:r>
            <w:r>
              <w:rPr>
                <w:b/>
                <w:bCs/>
                <w:color w:val="00274C"/>
                <w:position w:val="-2"/>
                <w:sz w:val="20"/>
                <w:szCs w:val="20"/>
                <w:u w:val="none"/>
              </w:rPr>
              <w:t xml:space="preserve">KOHLER</w:t>
            </w:r>
            <w:r>
              <w:rPr>
                <w:color w:val="00274C"/>
                <w:position w:val="-2"/>
                <w:sz w:val="20"/>
                <w:szCs w:val="20"/>
                <w:u w:val="none"/>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u w:val="none"/>
              </w:rPr>
              <w:t xml:space="preserve">In der </w:t>
            </w:r>
            <w:r>
              <w:rPr>
                <w:b/>
                <w:bCs/>
                <w:color w:val="00274C"/>
                <w:position w:val="-2"/>
                <w:sz w:val="20"/>
                <w:szCs w:val="20"/>
                <w:u w:val="none"/>
              </w:rPr>
              <w:t xml:space="preserve">Tab. 2.9</w:t>
            </w:r>
            <w:r>
              <w:rPr>
                <w:color w:val="00274C"/>
                <w:position w:val="-2"/>
                <w:sz w:val="20"/>
                <w:szCs w:val="20"/>
                <w:u w:val="none"/>
              </w:rPr>
              <w:t xml:space="preserve">  werden die Daten angezeigt, die auf dem Display </w:t>
            </w:r>
            <w:r>
              <w:rPr>
                <w:b/>
                <w:bCs/>
                <w:color w:val="00274C"/>
                <w:position w:val="-2"/>
                <w:sz w:val="20"/>
                <w:szCs w:val="20"/>
                <w:u w:val="none"/>
              </w:rPr>
              <w:t xml:space="preserve">B</w:t>
            </w:r>
            <w:r>
              <w:rPr>
                <w:color w:val="00274C"/>
                <w:position w:val="-2"/>
                <w:sz w:val="20"/>
                <w:szCs w:val="20"/>
                <w:u w:val="none"/>
              </w:rPr>
              <w:t xml:space="preserve"> durch Drücken der Tasten </w:t>
            </w:r>
            <w:r>
              <w:rPr>
                <w:b/>
                <w:bCs/>
                <w:color w:val="00274C"/>
                <w:position w:val="-2"/>
                <w:sz w:val="20"/>
                <w:szCs w:val="20"/>
                <w:u w:val="none"/>
              </w:rPr>
              <w:t xml:space="preserve">C</w:t>
            </w:r>
            <w:r>
              <w:rPr>
                <w:color w:val="00274C"/>
                <w:position w:val="-2"/>
                <w:sz w:val="20"/>
                <w:szCs w:val="20"/>
                <w:u w:val="none"/>
              </w:rPr>
              <w:t xml:space="preserve"> oder </w:t>
            </w:r>
            <w:r>
              <w:rPr>
                <w:b/>
                <w:bCs/>
                <w:color w:val="00274C"/>
                <w:position w:val="-2"/>
                <w:sz w:val="20"/>
                <w:szCs w:val="20"/>
                <w:u w:val="none"/>
              </w:rPr>
              <w:t xml:space="preserve">D</w:t>
            </w:r>
            <w:r>
              <w:rPr>
                <w:color w:val="00274C"/>
                <w:position w:val="-2"/>
                <w:sz w:val="20"/>
                <w:szCs w:val="20"/>
                <w:u w:val="none"/>
              </w:rPr>
              <w:t xml:space="preserve"> abgerufen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in der </w:t>
            </w:r>
            <w:r>
              <w:rPr>
                <w:b/>
                <w:bCs/>
                <w:color w:val="00274C"/>
                <w:position w:val="-2"/>
                <w:sz w:val="20"/>
                <w:szCs w:val="20"/>
                <w:u w:val="none"/>
              </w:rPr>
              <w:t xml:space="preserve">2.9</w:t>
            </w:r>
            <w:r>
              <w:rPr>
                <w:color w:val="00274C"/>
                <w:position w:val="-2"/>
                <w:sz w:val="20"/>
                <w:szCs w:val="20"/>
                <w:u w:val="none"/>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Betriebsstunden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Verbleibende Stunden bis zur Wartung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Motordrehzahl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945">
    <w:multiLevelType w:val="hybridMultilevel"/>
    <w:lvl w:ilvl="0" w:tplc="66345016">
      <w:start w:val="1"/>
      <w:numFmt w:val="decimal"/>
      <w:lvlText w:val="%1."/>
      <w:lvlJc w:val="left"/>
      <w:pPr>
        <w:ind w:left="720" w:hanging="360"/>
      </w:pPr>
    </w:lvl>
    <w:lvl w:ilvl="1" w:tplc="66345016" w:tentative="1">
      <w:start w:val="1"/>
      <w:numFmt w:val="lowerLetter"/>
      <w:lvlText w:val="%2."/>
      <w:lvlJc w:val="left"/>
      <w:pPr>
        <w:ind w:left="1440" w:hanging="360"/>
      </w:pPr>
    </w:lvl>
    <w:lvl w:ilvl="2" w:tplc="66345016" w:tentative="1">
      <w:start w:val="1"/>
      <w:numFmt w:val="lowerRoman"/>
      <w:lvlText w:val="%3."/>
      <w:lvlJc w:val="right"/>
      <w:pPr>
        <w:ind w:left="2160" w:hanging="180"/>
      </w:pPr>
    </w:lvl>
    <w:lvl w:ilvl="3" w:tplc="66345016" w:tentative="1">
      <w:start w:val="1"/>
      <w:numFmt w:val="decimal"/>
      <w:lvlText w:val="%4."/>
      <w:lvlJc w:val="left"/>
      <w:pPr>
        <w:ind w:left="2880" w:hanging="360"/>
      </w:pPr>
    </w:lvl>
    <w:lvl w:ilvl="4" w:tplc="66345016" w:tentative="1">
      <w:start w:val="1"/>
      <w:numFmt w:val="lowerLetter"/>
      <w:lvlText w:val="%5."/>
      <w:lvlJc w:val="left"/>
      <w:pPr>
        <w:ind w:left="3600" w:hanging="360"/>
      </w:pPr>
    </w:lvl>
    <w:lvl w:ilvl="5" w:tplc="66345016" w:tentative="1">
      <w:start w:val="1"/>
      <w:numFmt w:val="lowerRoman"/>
      <w:lvlText w:val="%6."/>
      <w:lvlJc w:val="right"/>
      <w:pPr>
        <w:ind w:left="4320" w:hanging="180"/>
      </w:pPr>
    </w:lvl>
    <w:lvl w:ilvl="6" w:tplc="66345016" w:tentative="1">
      <w:start w:val="1"/>
      <w:numFmt w:val="decimal"/>
      <w:lvlText w:val="%7."/>
      <w:lvlJc w:val="left"/>
      <w:pPr>
        <w:ind w:left="5040" w:hanging="360"/>
      </w:pPr>
    </w:lvl>
    <w:lvl w:ilvl="7" w:tplc="66345016" w:tentative="1">
      <w:start w:val="1"/>
      <w:numFmt w:val="lowerLetter"/>
      <w:lvlText w:val="%8."/>
      <w:lvlJc w:val="left"/>
      <w:pPr>
        <w:ind w:left="5760" w:hanging="360"/>
      </w:pPr>
    </w:lvl>
    <w:lvl w:ilvl="8" w:tplc="66345016" w:tentative="1">
      <w:start w:val="1"/>
      <w:numFmt w:val="lowerRoman"/>
      <w:lvlText w:val="%9."/>
      <w:lvlJc w:val="right"/>
      <w:pPr>
        <w:ind w:left="6480" w:hanging="180"/>
      </w:pPr>
    </w:lvl>
  </w:abstractNum>
  <w:abstractNum w:abstractNumId="27944">
    <w:multiLevelType w:val="hybridMultilevel"/>
    <w:lvl w:ilvl="0" w:tplc="1772087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944">
    <w:abstractNumId w:val="27944"/>
  </w:num>
  <w:num w:numId="27945">
    <w:abstractNumId w:val="279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38856078" Type="http://schemas.openxmlformats.org/officeDocument/2006/relationships/comments" Target="comments.xml"/><Relationship Id="rId637513785" Type="http://schemas.microsoft.com/office/2011/relationships/commentsExtended" Target="commentsExtended.xml"/><Relationship Id="rId24831926" Type="http://schemas.openxmlformats.org/officeDocument/2006/relationships/image" Target="media/imgrId24831926.jpg"/><Relationship Id="rId741865c4f295daa26" Type="http://schemas.openxmlformats.org/officeDocument/2006/relationships/image" Target="media/imgrId741865c4f295daa26.jpg"/><Relationship Id="rId466465c4f295e8cd8" Type="http://schemas.openxmlformats.org/officeDocument/2006/relationships/image" Target="media/imgrId466465c4f295e8cd8.jpg"/><Relationship Id="rId343365c4f29606f3b" Type="http://schemas.openxmlformats.org/officeDocument/2006/relationships/image" Target="media/imgrId343365c4f29606f3b.jpg"/><Relationship Id="rId691965c4f2960ef56" Type="http://schemas.openxmlformats.org/officeDocument/2006/relationships/image" Target="media/imgrId691965c4f2960ef56.jpg"/><Relationship Id="rId383465c4f296164c6" Type="http://schemas.openxmlformats.org/officeDocument/2006/relationships/image" Target="media/imgrId383465c4f296164c6.jpg"/><Relationship Id="rId335965c4f29623d87" Type="http://schemas.openxmlformats.org/officeDocument/2006/relationships/image" Target="media/imgrId335965c4f29623d87.png"/><Relationship Id="rId228165c4f2962b8f1" Type="http://schemas.openxmlformats.org/officeDocument/2006/relationships/image" Target="media/imgrId228165c4f2962b8f1.png"/><Relationship Id="rId233065c4f2963e7ae" Type="http://schemas.openxmlformats.org/officeDocument/2006/relationships/image" Target="media/imgrId233065c4f2963e7ae.png"/><Relationship Id="rId962765c4f2964c3c1" Type="http://schemas.openxmlformats.org/officeDocument/2006/relationships/image" Target="media/imgrId962765c4f2964c3c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4831926" Type="http://schemas.openxmlformats.org/officeDocument/2006/relationships/image" Target="media/imgrId2483192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4831926" Type="http://schemas.openxmlformats.org/officeDocument/2006/relationships/image" Target="media/imgrId2483192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4831926" Type="http://schemas.openxmlformats.org/officeDocument/2006/relationships/image" Target="media/imgrId2483192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4831926" Type="http://schemas.openxmlformats.org/officeDocument/2006/relationships/image" Target="media/imgrId2483192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4831926" Type="http://schemas.openxmlformats.org/officeDocument/2006/relationships/image" Target="media/imgrId2483192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4831926" Type="http://schemas.openxmlformats.org/officeDocument/2006/relationships/image" Target="media/imgrId2483192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