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KDI-TCP 3404 E5 (REV. 01.2)</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6096000" cy="6096000"/>
            <wp:effectExtent l="0" t="95250" r="0" b="0"/>
            <wp:docPr id="41038808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2277558" cstate="print"/>
                    <a:stretch>
                      <a:fillRect/>
                    </a:stretch>
                  </pic:blipFill>
                  <pic:spPr>
                    <a:xfrm>
                      <a:off x="0" y="0"/>
                      <a:ext cx="6096000" cy="609600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3404tcr</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65389970" w:name="ctxt"/>
    <w:bookmarkEnd w:id="65389970"/>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Diesel 4 tempi con cilindri in linea; - Raffreddamento a liquido;</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valvole per cilindro con punterie idrauliche;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Turbocompressore con valvola Waste-gate;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Iniezione diretta common rail.</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3"/>
                    </w:rPr>
                    <w:drawing>
                      <wp:inline distT="0" distB="0" distL="0" distR="0">
                        <wp:extent cx="1080000" cy="741600"/>
                        <wp:effectExtent b="0" l="0" r="0" t="0"/>
                        <wp:docPr id="51479708" name="name861165e1ae615f347" descr="Cap2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2_01.png"/>
                                <pic:cNvPicPr/>
                              </pic:nvPicPr>
                              <pic:blipFill>
                                <a:blip r:embed="rId975165e1ae615f343" cstate="print"/>
                                <a:stretch>
                                  <a:fillRect/>
                                </a:stretch>
                              </pic:blipFill>
                              <pic:spPr>
                                <a:xfrm>
                                  <a:off x="0" y="0"/>
                                  <a:ext cx="1080000" cy="7416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motore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KDI-TCP 3404 E5</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0753599" name="name749765e1ae6168ab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87965e1ae6168aad"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7385"/>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7385"/>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7385"/>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7385"/>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7385"/>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0739039" name="name717665e1ae616e6e9"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06465e1ae616e6e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7385"/>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7385"/>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7385"/>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764265e1ae616fa4c"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7385"/>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7385"/>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OLIO PRESCRITTO</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widowControl w:val="on"/>
        <w:pBdr/>
        <w:spacing w:before="0" w:after="0" w:line="262" w:lineRule="auto"/>
        <w:ind w:left="0" w:right="0"/>
        <w:jc w:val="left"/>
      </w:pPr>
      <w:r>
        <w:rPr>
          <w:color w:val="00274C"/>
          <w:sz w:val="20"/>
          <w:szCs w:val="20"/>
          <w:u w:val="none"/>
        </w:rPr>
        <w:t xml:space="preserve"> </w:t>
      </w:r>
    </w:p>
    <w:p>
      <w:pPr>
        <w:numPr>
          <w:ilvl w:val="0"/>
          <w:numId w:val="7385"/>
        </w:numPr>
        <w:spacing w:before="0" w:after="0" w:line="240" w:lineRule="auto"/>
        <w:jc w:val="left"/>
        <w:rPr>
          <w:color w:val="00274C"/>
          <w:sz w:val="20"/>
          <w:szCs w:val="20"/>
        </w:rPr>
      </w:pPr>
      <w:r>
        <w:rPr>
          <w:color w:val="00274C"/>
          <w:sz w:val="20"/>
          <w:szCs w:val="20"/>
          <w:u w:val="none"/>
        </w:rPr>
        <w:t xml:space="preserve">La tecnologia Low S.A.P.S. (olio con basso contenuto di ceneri solfate, fosforo e zolfo) mantiene il catalizzatore in buone condizioni di funzionamento. La presenza di ceneri solfate, fosforo e zolfo e zolfo, nel tempo, causano l’intasamento del catalizzatore e la sua conseguente inefficienza.</w:t>
      </w:r>
    </w:p>
    <w:p>
      <w:pPr>
        <w:numPr>
          <w:ilvl w:val="0"/>
          <w:numId w:val="7385"/>
        </w:numPr>
        <w:spacing w:before="0" w:after="0" w:line="240" w:lineRule="auto"/>
        <w:jc w:val="left"/>
        <w:rPr>
          <w:color w:val="00274C"/>
          <w:sz w:val="20"/>
          <w:szCs w:val="20"/>
        </w:rPr>
      </w:pPr>
      <w:r>
        <w:rPr>
          <w:color w:val="00274C"/>
          <w:sz w:val="20"/>
          <w:szCs w:val="20"/>
          <w:u w:val="none"/>
        </w:rPr>
        <w:t xml:space="preserve">Per quanto riguarda l’olio Mid S.A.P.S., il livello di ceneri solfate è lo stesso dell’olio API CJ-4 ≤ 1,0%, ma secondo la standardizzazione ACEA questi oli sono indicati come Mid SAPS.</w:t>
      </w:r>
    </w:p>
    <w:p>
      <w:pPr>
        <w:numPr>
          <w:ilvl w:val="0"/>
          <w:numId w:val="7385"/>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NON utilizzare carburante con contenuto di zolfo superiore a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w:t>
      </w:r>
      <w:r>
        <w:rPr>
          <w:color w:val="00274C"/>
          <w:sz w:val="20"/>
          <w:szCs w:val="20"/>
          <w:u w:val="none"/>
        </w:rPr>
        <w:t xml:space="preserve"> </w:t>
      </w:r>
      <w:r>
        <w:rPr>
          <w:b/>
          <w:bCs/>
          <w:color w:val="00274C"/>
          <w:sz w:val="20"/>
          <w:szCs w:val="20"/>
          <w:u w:val="none"/>
        </w:rPr>
        <w:t xml:space="preserve">Su tutti i motori conformi alla normativa emissioni Stage-V (motori provvisti di dispositivo DPF), l'olio da utilizzare</w:t>
      </w:r>
      <w:r>
        <w:rPr>
          <w:color w:val="00274C"/>
          <w:sz w:val="20"/>
          <w:szCs w:val="20"/>
          <w:u w:val="none"/>
        </w:rPr>
        <w:t xml:space="preserve"> </w:t>
      </w:r>
      <w:r>
        <w:rPr>
          <w:b/>
          <w:bCs/>
          <w:color w:val="00274C"/>
          <w:sz w:val="20"/>
          <w:szCs w:val="20"/>
          <w:u w:val="none"/>
        </w:rPr>
        <w:t xml:space="preserve">deve essere obbligatoriamente conforme con la specifica API</w:t>
      </w:r>
      <w:r>
        <w:rPr>
          <w:color w:val="00274C"/>
          <w:sz w:val="20"/>
          <w:szCs w:val="20"/>
          <w:u w:val="none"/>
        </w:rPr>
        <w:t xml:space="preserve"> </w:t>
      </w:r>
      <w:r>
        <w:rPr>
          <w:b/>
          <w:bCs/>
          <w:color w:val="00274C"/>
          <w:sz w:val="20"/>
          <w:szCs w:val="20"/>
          <w:u w:val="none"/>
        </w:rPr>
        <w:t xml:space="preserve">CJ-4 Low S.A.P.S o ACEA</w:t>
      </w:r>
      <w:r>
        <w:rPr>
          <w:color w:val="00274C"/>
          <w:sz w:val="20"/>
          <w:szCs w:val="20"/>
          <w:u w:val="none"/>
        </w:rPr>
        <w:t xml:space="preserve"> </w:t>
      </w:r>
      <w:r>
        <w:rPr>
          <w:b/>
          <w:bCs/>
          <w:color w:val="00274C"/>
          <w:sz w:val="20"/>
          <w:szCs w:val="20"/>
          <w:u w:val="none"/>
        </w:rPr>
        <w:t xml:space="preserve">E6 Low S.A.P.S.</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 NOTA</w:t>
      </w:r>
      <w:r>
        <w:rPr>
          <w:color w:val="00274C"/>
          <w:sz w:val="20"/>
          <w:szCs w:val="20"/>
          <w:u w:val="none"/>
        </w:rPr>
        <w:t xml:space="preserve"> : Gli oli Low S.A.P.S. con ceneri solfatate &lt;1% non possono essere usati con carburanti con contenuto di zolfo &gt; 50ppm.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b/>
          <w:bCs/>
          <w:color w:val="00274C"/>
          <w:sz w:val="20"/>
          <w:szCs w:val="20"/>
          <w:u w:val="none"/>
        </w:rPr>
        <w:t xml:space="preserve"> NOTA:</w:t>
      </w:r>
      <w:r>
        <w:rPr>
          <w:color w:val="00274C"/>
          <w:sz w:val="20"/>
          <w:szCs w:val="20"/>
          <w:u w:val="none"/>
        </w:rPr>
        <w:t xml:space="preserve"> NON utilizzare carburante con contenuto di zolfo superiore a 500ppm.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3363915" name="name573365e1ae61828be"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534465e1ae61828b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9134762" name="name765665e1ae618ac0f"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543965e1ae618ac0a"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7385"/>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7385"/>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7385"/>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r>
                    <w:rPr>
                      <w:color w:val="00274C"/>
                      <w:position w:val="-2"/>
                      <w:sz w:val="20"/>
                      <w:szCs w:val="20"/>
                      <w:u w:val="none"/>
                    </w:rPr>
                    <w:br/>
                    <w:t xml:space="preserve"> </w:t>
                  </w:r>
                  <w:r>
                    <w:rPr>
                      <w:b/>
                      <w:bCs/>
                      <w:color w:val="00274C"/>
                      <w:position w:val="-2"/>
                      <w:sz w:val="20"/>
                      <w:szCs w:val="20"/>
                      <w:u w:val="none"/>
                    </w:rPr>
                    <w:t xml:space="preserve">Stage 4</w:t>
                  </w:r>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br/>
                    <w:t xml:space="preserve">Stage 3B</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Tier IVF</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5"/>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7387"/>
              </w:numPr>
              <w:spacing w:before="0" w:after="0" w:line="262" w:lineRule="auto"/>
              <w:jc w:val="left"/>
              <w:rPr>
                <w:color w:val="00274C"/>
                <w:sz w:val="20"/>
                <w:szCs w:val="20"/>
              </w:rPr>
            </w:pPr>
            <w:r>
              <w:rPr>
                <w:color w:val="00274C"/>
                <w:position w:val="-2"/>
                <w:sz w:val="20"/>
                <w:szCs w:val="20"/>
                <w:u w:val="none"/>
              </w:rPr>
              <w:t xml:space="preserve">Conosciuto come "AUS 32" in Europa, "DEF" negli USA o "Urea Solution", è registrato con il marchio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al Verband der Automobilindustrie (VDA ) e deve rispettare le seguenti norme ISO:</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7388"/>
              </w:numPr>
              <w:spacing w:before="0" w:after="0" w:line="262" w:lineRule="auto"/>
              <w:jc w:val="left"/>
              <w:rPr>
                <w:color w:val="00274C"/>
                <w:sz w:val="20"/>
                <w:szCs w:val="20"/>
              </w:rPr>
            </w:pPr>
            <w:r>
              <w:rPr>
                <w:color w:val="00274C"/>
                <w:position w:val="-2"/>
                <w:sz w:val="20"/>
                <w:szCs w:val="20"/>
                <w:u w:val="none"/>
              </w:rPr>
              <w:t xml:space="preserve">Il rifornimento del serbatoio DEF deve essere eseguito tramite apposita pistola automatica presso i distributori abilitati, consultare il manuale della macchina per le operazioni di rifornimento.</w:t>
            </w:r>
          </w:p>
          <w:p>
            <w:pPr>
              <w:numPr>
                <w:ilvl w:val="0"/>
                <w:numId w:val="7388"/>
              </w:numPr>
              <w:spacing w:before="0" w:after="0" w:line="262" w:lineRule="auto"/>
              <w:jc w:val="left"/>
              <w:rPr>
                <w:color w:val="00274C"/>
                <w:sz w:val="20"/>
                <w:szCs w:val="20"/>
              </w:rPr>
            </w:pPr>
            <w:r>
              <w:rPr>
                <w:color w:val="00274C"/>
                <w:position w:val="-2"/>
                <w:sz w:val="20"/>
                <w:szCs w:val="20"/>
                <w:u w:val="none"/>
              </w:rPr>
              <w:t xml:space="preserve">Al rifornimento, rispettare il livello del MAX presente sul serbatoio.</w:t>
            </w:r>
          </w:p>
          <w:p>
            <w:pPr>
              <w:numPr>
                <w:ilvl w:val="0"/>
                <w:numId w:val="7388"/>
              </w:numPr>
              <w:spacing w:before="0" w:after="0" w:line="262" w:lineRule="auto"/>
              <w:jc w:val="left"/>
              <w:rPr>
                <w:color w:val="00274C"/>
                <w:sz w:val="20"/>
                <w:szCs w:val="20"/>
              </w:rPr>
            </w:pPr>
            <w:r>
              <w:rPr>
                <w:color w:val="00274C"/>
                <w:position w:val="-2"/>
                <w:sz w:val="20"/>
                <w:szCs w:val="20"/>
                <w:u w:val="none"/>
              </w:rPr>
              <w:t xml:space="preserve">Durante le operazioni di rifornimento deve essere evitato l’introduzione nel serbatoio di qualsiasi genere di impurità.</w:t>
            </w:r>
          </w:p>
          <w:p>
            <w:pPr>
              <w:numPr>
                <w:ilvl w:val="0"/>
                <w:numId w:val="7388"/>
              </w:numPr>
              <w:spacing w:before="0" w:after="0" w:line="262" w:lineRule="auto"/>
              <w:jc w:val="left"/>
              <w:rPr>
                <w:color w:val="00274C"/>
                <w:sz w:val="20"/>
                <w:szCs w:val="20"/>
              </w:rPr>
            </w:pPr>
            <w:r>
              <w:rPr>
                <w:color w:val="00274C"/>
                <w:position w:val="-2"/>
                <w:sz w:val="20"/>
                <w:szCs w:val="20"/>
                <w:u w:val="none"/>
              </w:rPr>
              <w:t xml:space="preserve">Nell’imbocco del serbatoio è presente un filtro che deve essere periodicamente pulito o sostituito (vedere la tabella di manutenzione e sostituzione - solo per serbatoio fornito da Kohler).</w:t>
            </w:r>
          </w:p>
          <w:p>
            <w:pPr>
              <w:numPr>
                <w:ilvl w:val="0"/>
                <w:numId w:val="7388"/>
              </w:numPr>
              <w:spacing w:before="0" w:after="0" w:line="262" w:lineRule="auto"/>
              <w:jc w:val="left"/>
              <w:rPr>
                <w:color w:val="00274C"/>
                <w:sz w:val="20"/>
                <w:szCs w:val="20"/>
              </w:rPr>
            </w:pPr>
            <w:r>
              <w:rPr>
                <w:color w:val="00274C"/>
                <w:position w:val="-2"/>
                <w:sz w:val="20"/>
                <w:szCs w:val="20"/>
                <w:u w:val="none"/>
              </w:rPr>
              <w:t xml:space="preserve">La qualità dell'DEF deve rispettare le specifiche descritte in Tab.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6588816" name="name704865e1ae61a1621"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94265e1ae61a161e"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Avvertenza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Non miscelare DEF con il carburante o altri liquidi (acqua compresa) e non rifornire il serbatoio carburante con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La presenza del DEF all'interno dell'apposito serbatoio è necessaria per l'avviamento del motore.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Acquisto in contenitori: il contenitore anche se aperto può essere stoccato con le medesime condizioni del contenitore sigillato.</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Non stoccare il contenitore ad una temperatura superiore ai 35° in quanto causerebbe un alterazione dell'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 caso di congelamento del DEF all'interno del contenitore (&lt; -11,5 °C | 11,3 °F), il DEF può essere utilizzato quando tornato allo stato liquido.</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Non esporre DEF alla luce diretta del sole.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 caso di apertura e chiusura del contenitore di acquisto originale, il DEF deve essere controllato tramite spettrometro per verificarne la qualità prima del suo riutilizzo.</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Non immettere nel serbatoio DEF alterato in quanto il motore potrebbe non rispettare i parametri di emissioni, generare degli errori da parte della DCU e di conseguenza lo spegnimento o la non accensione del motore.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PARAMETRI</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Titolo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Densità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Indice di rifrazione a 20 °C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Alcalinità come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peso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Aldeide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Insolubili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Fosfati come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Ferro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Cromo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Nichel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Alluminio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Punto di congelamento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41080461" name="name974965e1ae61b68b1"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641065e1ae61b68ac"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Batteria non di fornitura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MOTORINO AVVIAMENTO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CONDIZIONE MACCHINA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leggeri o frizione e cambio meccanico</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carichi parassitici idraulici pesanti</w:t>
                  </w:r>
                </w:p>
                <w:p/>
              </w:tc>
            </w:tr>
          </w:tbl>
          <w:p/>
        </w:tc>
      </w:tr>
    </w:tbl>
    <w:p>
      <w:pPr>
        <w:widowControl w:val="on"/>
        <w:pBdr/>
        <w:spacing w:before="0" w:after="0" w:line="262" w:lineRule="auto"/>
        <w:ind w:left="0" w:right="0"/>
        <w:jc w:val="left"/>
      </w:pPr>
      <w:r>
        <w:rPr>
          <w:color w:val="00274C"/>
          <w:sz w:val="20"/>
          <w:szCs w:val="20"/>
          <w:u w:val="none"/>
        </w:rPr>
        <w:t xml:space="preserve"> </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Strategia Inducement dell'impianto ATS</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L'inducement è l'operazione di riduzione delle performance del motore dovuta al rilevamento da parte della DCU ad un malfunzionamento o manomissione dell'impianto ATS.</w:t>
            </w:r>
            <w:r>
              <w:rPr>
                <w:color w:val="00274C"/>
                <w:position w:val="-2"/>
                <w:sz w:val="20"/>
                <w:szCs w:val="20"/>
                <w:u w:val="none"/>
              </w:rPr>
              <w:br/>
              <w:br/>
              <w:t xml:space="preserve">Il grado di Inducement viene deciso dalla ECU in base all'errore che la DCU ha rilevato.</w:t>
            </w:r>
            <w:r>
              <w:rPr>
                <w:color w:val="00274C"/>
                <w:position w:val="-2"/>
                <w:sz w:val="20"/>
                <w:szCs w:val="20"/>
                <w:u w:val="none"/>
              </w:rPr>
              <w:br/>
              <w:br/>
              <w:br/>
              <w:br/>
              <w:t xml:space="preserve">L'informazione sul quadro macchina o l'attivazione dell'Inducement può avvenire per i seguenti motivi: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Basso livello di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Qualità scadente delDEF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Interruzione del dosaggio di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Malfunzionamento della valvola EGR</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Manomissione dei sistemi di monitoraggio dell'impianto ATS.</w:t>
            </w:r>
          </w:p>
          <w:p>
            <w:pPr>
              <w:widowControl w:val="on"/>
              <w:pBdr/>
              <w:spacing w:before="0" w:after="0" w:line="240" w:lineRule="auto"/>
              <w:ind w:left="0" w:right="0"/>
              <w:jc w:val="left"/>
            </w:pPr>
            <w:r>
              <w:rPr>
                <w:color w:val="00274C"/>
                <w:position w:val="-2"/>
                <w:sz w:val="20"/>
                <w:szCs w:val="20"/>
                <w:u w:val="none"/>
              </w:rPr>
              <w:t xml:space="preserve">
La strategia dell'Inducement viene applicata in base a: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problema rilevato</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ore trascorse.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NOTA: le ore vengono azzerate dopo 40h senza rilevamento di alcuna anomalia da parte della DCU, in caso contrario le ore vengono sommate alle precedenti già contabilizzate. Per il basso livello di DEF l'attivazione avviene in base alla percentuale di liquido presente all'interno del serbatoio DEF, non vengono contabilizzate le ore di 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(Stage V - EU):</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2 livelli, di seguito elencati:</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o 2°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attivazione informazione sul quadro macchina: &lt;10% del livello MAX</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&lt;2.5% del livello MAX</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0%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10h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20h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73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73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36h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100h dal rilevamento dell'anomalia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Di seguito si elenca la strategia per le varie anomalie (Tier 4 Final - USA):</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L'Inducement può essere di 3 livelli, di seguito elencati:</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1° livello: riduzione del 25% della coppia MAX disponibile.</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2° livello: riduzione del 50% della coppia MAX disponibile e riduzione del 40% dei giri MAX disponibili.</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3° livello: il motore lavora al minimo dei giri e della coppia MAX disponibile</w:t>
            </w:r>
          </w:p>
          <w:p/>
          <w:p>
            <w:pPr>
              <w:widowControl w:val="on"/>
              <w:pBdr/>
              <w:spacing w:before="0" w:after="0" w:line="240" w:lineRule="auto"/>
              <w:ind w:left="0" w:right="0"/>
              <w:jc w:val="left"/>
            </w:pPr>
            <w:r>
              <w:rPr>
                <w:color w:val="00274C"/>
                <w:position w:val="-2"/>
                <w:sz w:val="20"/>
                <w:szCs w:val="20"/>
                <w:u w:val="none"/>
              </w:rPr>
              <w:t xml:space="preserve">
Prima dell'attivazione dell'Inducement (1° livello, 2° livello o 3° livello) la ECU attiva un warning o una spia sul quadro macchina (consultare la documentazione della macchina per conoscere il tipo di warning).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Basso livello di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attivazione informazione sul quadro macchina: &lt;15% del livello MAX</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&lt;5% del livello MAX</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&lt;2.5% del livello MAX</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3° livello: &lt;0.5% del livello MAX</w:t>
            </w:r>
          </w:p>
          <w:p>
            <w:pPr>
              <w:widowControl w:val="on"/>
              <w:pBdr/>
              <w:spacing w:before="0" w:after="0" w:line="240" w:lineRule="auto"/>
              <w:ind w:left="0" w:right="0"/>
              <w:jc w:val="left"/>
            </w:pPr>
            <w:r>
              <w:rPr>
                <w:b/>
                <w:bCs/>
                <w:i/>
                <w:iCs/>
                <w:color w:val="00274C"/>
                <w:position w:val="-2"/>
                <w:sz w:val="20"/>
                <w:szCs w:val="20"/>
                <w:u w:val="none"/>
              </w:rPr>
              <w:t xml:space="preserve">Qualità scadente del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Interruzione del dosaggio di DEF</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Malfunzionamento della valvola EGR</w:t>
            </w:r>
          </w:p>
          <w:p>
            <w:pPr>
              <w:numPr>
                <w:ilvl w:val="0"/>
                <w:numId w:val="73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p>
            <w:pPr>
              <w:widowControl w:val="on"/>
              <w:pBdr/>
              <w:spacing w:before="0" w:after="0" w:line="240" w:lineRule="auto"/>
              <w:ind w:left="0" w:right="0"/>
              <w:jc w:val="left"/>
            </w:pPr>
            <w:r>
              <w:rPr>
                <w:b/>
                <w:bCs/>
                <w:i/>
                <w:iCs/>
                <w:color w:val="00274C"/>
                <w:position w:val="-2"/>
                <w:sz w:val="20"/>
                <w:szCs w:val="20"/>
                <w:u w:val="none"/>
              </w:rPr>
              <w:t xml:space="preserve">Manomissione dei sistemi di monitoraggio dell'impianto ATS</w:t>
            </w:r>
          </w:p>
          <w:p>
            <w:pPr>
              <w:numPr>
                <w:ilvl w:val="0"/>
                <w:numId w:val="7385"/>
              </w:numPr>
              <w:spacing w:before="0" w:after="0" w:line="262" w:lineRule="auto"/>
              <w:jc w:val="left"/>
              <w:rPr>
                <w:color w:val="00274C"/>
                <w:sz w:val="20"/>
                <w:szCs w:val="20"/>
              </w:rPr>
            </w:pPr>
            <w:r>
              <w:rPr>
                <w:color w:val="00274C"/>
                <w:position w:val="-2"/>
                <w:sz w:val="20"/>
                <w:szCs w:val="20"/>
                <w:u w:val="none"/>
              </w:rPr>
              <w:br/>
              <w:t xml:space="preserve">attivazione informazione sul quadro macchina: 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1° livello: dopo 1h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2° livello: dopo 2h dal rilevamento dell'anomalia</w:t>
            </w:r>
          </w:p>
          <w:p>
            <w:pPr>
              <w:numPr>
                <w:ilvl w:val="0"/>
                <w:numId w:val="7385"/>
              </w:numPr>
              <w:spacing w:before="0" w:after="0" w:line="262" w:lineRule="auto"/>
              <w:jc w:val="left"/>
              <w:rPr>
                <w:color w:val="00274C"/>
                <w:sz w:val="20"/>
                <w:szCs w:val="20"/>
              </w:rPr>
            </w:pPr>
            <w:r>
              <w:rPr>
                <w:color w:val="00274C"/>
                <w:position w:val="-2"/>
                <w:sz w:val="20"/>
                <w:szCs w:val="20"/>
                <w:u w:val="none"/>
              </w:rPr>
              <w:t xml:space="preserve">Inducement di 3° livello: dopo 3h dal rilevamento dell'anomalia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Quadro di comando</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Nella </w:t>
            </w:r>
            <w:r>
              <w:rPr>
                <w:b/>
                <w:bCs/>
                <w:color w:val="00274C"/>
                <w:position w:val="-2"/>
                <w:sz w:val="20"/>
                <w:szCs w:val="20"/>
                <w:u w:val="none"/>
              </w:rPr>
              <w:t xml:space="preserve">Tab. 2.8</w:t>
            </w:r>
            <w:r>
              <w:rPr>
                <w:color w:val="00274C"/>
                <w:position w:val="-2"/>
                <w:sz w:val="20"/>
                <w:szCs w:val="20"/>
                <w:u w:val="none"/>
              </w:rPr>
              <w:t xml:space="preserve">  sono indicati i componenti del quadro di comando.
</w:t>
            </w:r>
          </w:p>
          <w:p>
            <w:pPr>
              <w:widowControl w:val="on"/>
              <w:pBdr/>
              <w:spacing w:before="0" w:after="0" w:line="262" w:lineRule="auto"/>
              <w:ind w:left="0" w:right="0"/>
              <w:jc w:val="left"/>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Interruttore accensione quadro e motore con chiave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Display di consultazione dati o errori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superiore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freccia di navigazione menu inferiore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Pulsante di selezione o inserimento dati</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LED stato di funzionamento motore (verde = nessun inconveniente rilevato)</w:t>
                  </w:r>
                </w:p>
              </w:tc>
            </w:tr>
          </w:tbl>
          <w:p/>
        </w:tc>
        <w:tc>
          <w:tcPr>
            <w:tcW w:w="0" w:type="auto"/>
            <w:tcMar>
              <w:top w:w="150" w:type="dxa"/>
              <w:left w:w="150" w:type="dxa"/>
              <w:bottom w:w="150" w:type="dxa"/>
              <w:right w:w="150" w:type="dxa"/>
            </w:tcMar>
            <w:vAlign w:val="top"/>
          </w:tcPr>
          <w:p>
            <w:r>
              <w:rPr>
                <w:position w:val="-196"/>
              </w:rPr>
              <w:drawing>
                <wp:inline distT="0" distB="0" distL="0" distR="0">
                  <wp:extent cx="2196000" cy="1296000"/>
                  <wp:effectExtent b="0" l="0" r="0" t="0"/>
                  <wp:docPr id="95262295" name="name127265e1ae61d3594"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972265e1ae61d3590"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tcW w:w="0" w:type="auto"/>
            <w:gridSpan w:val="2"/>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 nel caso il LED </w:t>
            </w:r>
            <w:r>
              <w:rPr>
                <w:b/>
                <w:bCs/>
                <w:color w:val="00274C"/>
                <w:position w:val="-2"/>
                <w:sz w:val="20"/>
                <w:szCs w:val="20"/>
                <w:u w:val="none"/>
              </w:rPr>
              <w:t xml:space="preserve">F</w:t>
            </w:r>
            <w:r>
              <w:rPr>
                <w:color w:val="00274C"/>
                <w:position w:val="-2"/>
                <w:sz w:val="20"/>
                <w:szCs w:val="20"/>
                <w:u w:val="none"/>
              </w:rPr>
              <w:t xml:space="preserve"> sia illuminato in rosso, consultare il le officine autorizzate </w:t>
            </w:r>
            <w:r>
              <w:rPr>
                <w:b/>
                <w:bCs/>
                <w:color w:val="00274C"/>
                <w:position w:val="-2"/>
                <w:sz w:val="20"/>
                <w:szCs w:val="20"/>
                <w:u w:val="none"/>
              </w:rPr>
              <w:t xml:space="preserve">KOHLER</w:t>
            </w:r>
            <w:r>
              <w:rPr>
                <w:color w:val="00274C"/>
                <w:position w:val="-2"/>
                <w:sz w:val="20"/>
                <w:szCs w:val="20"/>
                <w:u w:val="none"/>
              </w:rPr>
              <w:t xml:space="preserve"> per conoscere il tipo di inconveniente. Per alcuni inconvenienti si attiva lo spegnimento automatico del motore.</w:t>
            </w:r>
          </w:p>
          <w:p/>
          <w:p/>
          <w:p>
            <w:pPr>
              <w:widowControl w:val="on"/>
              <w:pBdr/>
              <w:spacing w:before="0" w:after="0" w:line="262" w:lineRule="auto"/>
              <w:ind w:left="0" w:right="0"/>
              <w:jc w:val="left"/>
              <w:textAlignment w:val="center"/>
            </w:pPr>
            <w:r>
              <w:rPr>
                <w:color w:val="00274C"/>
                <w:position w:val="-2"/>
                <w:sz w:val="20"/>
                <w:szCs w:val="20"/>
                <w:u w:val="none"/>
              </w:rPr>
              <w:t xml:space="preserve">Nella </w:t>
            </w:r>
            <w:r>
              <w:rPr>
                <w:b/>
                <w:bCs/>
                <w:color w:val="00274C"/>
                <w:position w:val="-2"/>
                <w:sz w:val="20"/>
                <w:szCs w:val="20"/>
                <w:u w:val="none"/>
              </w:rPr>
              <w:t xml:space="preserve">Tab. 2.9</w:t>
            </w:r>
            <w:r>
              <w:rPr>
                <w:color w:val="00274C"/>
                <w:position w:val="-2"/>
                <w:sz w:val="20"/>
                <w:szCs w:val="20"/>
                <w:u w:val="none"/>
              </w:rPr>
              <w:t xml:space="preserve">  sono indicati i dati che è possibile consultare sul display </w:t>
            </w:r>
            <w:r>
              <w:rPr>
                <w:b/>
                <w:bCs/>
                <w:color w:val="00274C"/>
                <w:position w:val="-2"/>
                <w:sz w:val="20"/>
                <w:szCs w:val="20"/>
                <w:u w:val="none"/>
              </w:rPr>
              <w:t xml:space="preserve">B</w:t>
            </w:r>
            <w:r>
              <w:rPr>
                <w:color w:val="00274C"/>
                <w:position w:val="-2"/>
                <w:sz w:val="20"/>
                <w:szCs w:val="20"/>
                <w:u w:val="none"/>
              </w:rPr>
              <w:t xml:space="preserve"> premendo i pulsanti </w:t>
            </w:r>
            <w:r>
              <w:rPr>
                <w:b/>
                <w:bCs/>
                <w:color w:val="00274C"/>
                <w:position w:val="-2"/>
                <w:sz w:val="20"/>
                <w:szCs w:val="20"/>
                <w:u w:val="none"/>
              </w:rPr>
              <w:t xml:space="preserve">C</w:t>
            </w:r>
            <w:r>
              <w:rPr>
                <w:color w:val="00274C"/>
                <w:position w:val="-2"/>
                <w:sz w:val="20"/>
                <w:szCs w:val="20"/>
                <w:u w:val="none"/>
              </w:rPr>
              <w:t xml:space="preserve"> o </w:t>
            </w:r>
            <w:r>
              <w:rPr>
                <w:b/>
                <w:bCs/>
                <w:color w:val="00274C"/>
                <w:position w:val="-2"/>
                <w:sz w:val="20"/>
                <w:szCs w:val="20"/>
                <w:u w:val="none"/>
              </w:rPr>
              <w:t xml:space="preserve">D.</w:t>
            </w:r>
          </w:p>
          <w:p/>
          <w:p/>
          <w:p>
            <w:pPr>
              <w:widowControl w:val="on"/>
              <w:pBdr/>
              <w:spacing w:before="0" w:after="0" w:line="262" w:lineRule="auto"/>
              <w:ind w:left="0" w:right="0"/>
              <w:jc w:val="left"/>
              <w:textAlignment w:val="center"/>
            </w:pPr>
            <w:r>
              <w:rPr>
                <w:b/>
                <w:bCs/>
                <w:color w:val="00274C"/>
                <w:position w:val="-2"/>
                <w:sz w:val="20"/>
                <w:szCs w:val="20"/>
                <w:u w:val="none"/>
              </w:rPr>
              <w:t xml:space="preserve">NOTA:</w:t>
            </w:r>
            <w:r>
              <w:rPr>
                <w:color w:val="00274C"/>
                <w:position w:val="-2"/>
                <w:sz w:val="20"/>
                <w:szCs w:val="20"/>
                <w:u w:val="none"/>
              </w:rPr>
              <w:t xml:space="preserve"> i dati descritti in </w:t>
            </w:r>
            <w:r>
              <w:rPr>
                <w:b/>
                <w:bCs/>
                <w:color w:val="00274C"/>
                <w:position w:val="-2"/>
                <w:sz w:val="20"/>
                <w:szCs w:val="20"/>
                <w:u w:val="none"/>
              </w:rPr>
              <w:t xml:space="preserve">Tab. 2.9</w:t>
            </w:r>
            <w:r>
              <w:rPr>
                <w:color w:val="00274C"/>
                <w:position w:val="-2"/>
                <w:sz w:val="20"/>
                <w:szCs w:val="20"/>
                <w:u w:val="none"/>
              </w:rPr>
              <w:t xml:space="preserve">  possono essere diversi, in tal caso consultare il manuale della macchina.</w:t>
            </w:r>
          </w:p>
          <w:p>
            <w:pPr>
              <w:widowControl w:val="on"/>
              <w:pBdr/>
              <w:spacing w:before="0" w:after="0" w:line="262" w:lineRule="auto"/>
              <w:ind w:left="0" w:right="0"/>
              <w:jc w:val="left"/>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di funzionamento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Ore rimanenti alla manutenzione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Giri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Pressione olio motore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Temperatura refrigerante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Coppia utilizzata @ rpm (% di utilizzo)</w:t>
                  </w:r>
                </w:p>
              </w:tc>
            </w:tr>
          </w:tbl>
          <w:p/>
        </w:tc>
      </w:tr>
    </w:tbl>
    <w:p>
      <w:pPr>
        <w:widowControl w:val="on"/>
        <w:pBdr/>
        <w:spacing w:before="0" w:after="0" w:line="262" w:lineRule="auto"/>
        <w:ind w:left="0" w:right="0"/>
        <w:jc w:val="left"/>
      </w:pPr>
      <w:r>
        <w:rPr>
          <w:color w:val="00274C"/>
          <w:sz w:val="20"/>
          <w:szCs w:val="20"/>
          <w:u w:val="none"/>
        </w:rPr>
        <w:t xml:space="preserve"> </w:t>
      </w:r>
    </w:p>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7388">
    <w:multiLevelType w:val="hybridMultilevel"/>
    <w:lvl w:ilvl="0" w:tplc="13084416">
      <w:start w:val="1"/>
      <w:numFmt w:val="decimal"/>
      <w:lvlText w:val="%1."/>
      <w:lvlJc w:val="left"/>
      <w:pPr>
        <w:ind w:left="720" w:hanging="360"/>
      </w:pPr>
    </w:lvl>
    <w:lvl w:ilvl="1" w:tplc="13084416" w:tentative="1">
      <w:start w:val="1"/>
      <w:numFmt w:val="lowerLetter"/>
      <w:lvlText w:val="%2."/>
      <w:lvlJc w:val="left"/>
      <w:pPr>
        <w:ind w:left="1440" w:hanging="360"/>
      </w:pPr>
    </w:lvl>
    <w:lvl w:ilvl="2" w:tplc="13084416" w:tentative="1">
      <w:start w:val="1"/>
      <w:numFmt w:val="lowerRoman"/>
      <w:lvlText w:val="%3."/>
      <w:lvlJc w:val="right"/>
      <w:pPr>
        <w:ind w:left="2160" w:hanging="180"/>
      </w:pPr>
    </w:lvl>
    <w:lvl w:ilvl="3" w:tplc="13084416" w:tentative="1">
      <w:start w:val="1"/>
      <w:numFmt w:val="decimal"/>
      <w:lvlText w:val="%4."/>
      <w:lvlJc w:val="left"/>
      <w:pPr>
        <w:ind w:left="2880" w:hanging="360"/>
      </w:pPr>
    </w:lvl>
    <w:lvl w:ilvl="4" w:tplc="13084416" w:tentative="1">
      <w:start w:val="1"/>
      <w:numFmt w:val="lowerLetter"/>
      <w:lvlText w:val="%5."/>
      <w:lvlJc w:val="left"/>
      <w:pPr>
        <w:ind w:left="3600" w:hanging="360"/>
      </w:pPr>
    </w:lvl>
    <w:lvl w:ilvl="5" w:tplc="13084416" w:tentative="1">
      <w:start w:val="1"/>
      <w:numFmt w:val="lowerRoman"/>
      <w:lvlText w:val="%6."/>
      <w:lvlJc w:val="right"/>
      <w:pPr>
        <w:ind w:left="4320" w:hanging="180"/>
      </w:pPr>
    </w:lvl>
    <w:lvl w:ilvl="6" w:tplc="13084416" w:tentative="1">
      <w:start w:val="1"/>
      <w:numFmt w:val="decimal"/>
      <w:lvlText w:val="%7."/>
      <w:lvlJc w:val="left"/>
      <w:pPr>
        <w:ind w:left="5040" w:hanging="360"/>
      </w:pPr>
    </w:lvl>
    <w:lvl w:ilvl="7" w:tplc="13084416" w:tentative="1">
      <w:start w:val="1"/>
      <w:numFmt w:val="lowerLetter"/>
      <w:lvlText w:val="%8."/>
      <w:lvlJc w:val="left"/>
      <w:pPr>
        <w:ind w:left="5760" w:hanging="360"/>
      </w:pPr>
    </w:lvl>
    <w:lvl w:ilvl="8" w:tplc="13084416" w:tentative="1">
      <w:start w:val="1"/>
      <w:numFmt w:val="lowerRoman"/>
      <w:lvlText w:val="%9."/>
      <w:lvlJc w:val="right"/>
      <w:pPr>
        <w:ind w:left="6480" w:hanging="180"/>
      </w:pPr>
    </w:lvl>
  </w:abstractNum>
  <w:abstractNum w:abstractNumId="7387">
    <w:multiLevelType w:val="hybridMultilevel"/>
    <w:lvl w:ilvl="0" w:tplc="11382610">
      <w:start w:val="1"/>
      <w:numFmt w:val="decimal"/>
      <w:lvlText w:val="%1."/>
      <w:lvlJc w:val="left"/>
      <w:pPr>
        <w:ind w:left="720" w:hanging="360"/>
      </w:pPr>
    </w:lvl>
    <w:lvl w:ilvl="1" w:tplc="11382610" w:tentative="1">
      <w:start w:val="1"/>
      <w:numFmt w:val="lowerLetter"/>
      <w:lvlText w:val="%2."/>
      <w:lvlJc w:val="left"/>
      <w:pPr>
        <w:ind w:left="1440" w:hanging="360"/>
      </w:pPr>
    </w:lvl>
    <w:lvl w:ilvl="2" w:tplc="11382610" w:tentative="1">
      <w:start w:val="1"/>
      <w:numFmt w:val="lowerRoman"/>
      <w:lvlText w:val="%3."/>
      <w:lvlJc w:val="right"/>
      <w:pPr>
        <w:ind w:left="2160" w:hanging="180"/>
      </w:pPr>
    </w:lvl>
    <w:lvl w:ilvl="3" w:tplc="11382610" w:tentative="1">
      <w:start w:val="1"/>
      <w:numFmt w:val="decimal"/>
      <w:lvlText w:val="%4."/>
      <w:lvlJc w:val="left"/>
      <w:pPr>
        <w:ind w:left="2880" w:hanging="360"/>
      </w:pPr>
    </w:lvl>
    <w:lvl w:ilvl="4" w:tplc="11382610" w:tentative="1">
      <w:start w:val="1"/>
      <w:numFmt w:val="lowerLetter"/>
      <w:lvlText w:val="%5."/>
      <w:lvlJc w:val="left"/>
      <w:pPr>
        <w:ind w:left="3600" w:hanging="360"/>
      </w:pPr>
    </w:lvl>
    <w:lvl w:ilvl="5" w:tplc="11382610" w:tentative="1">
      <w:start w:val="1"/>
      <w:numFmt w:val="lowerRoman"/>
      <w:lvlText w:val="%6."/>
      <w:lvlJc w:val="right"/>
      <w:pPr>
        <w:ind w:left="4320" w:hanging="180"/>
      </w:pPr>
    </w:lvl>
    <w:lvl w:ilvl="6" w:tplc="11382610" w:tentative="1">
      <w:start w:val="1"/>
      <w:numFmt w:val="decimal"/>
      <w:lvlText w:val="%7."/>
      <w:lvlJc w:val="left"/>
      <w:pPr>
        <w:ind w:left="5040" w:hanging="360"/>
      </w:pPr>
    </w:lvl>
    <w:lvl w:ilvl="7" w:tplc="11382610" w:tentative="1">
      <w:start w:val="1"/>
      <w:numFmt w:val="lowerLetter"/>
      <w:lvlText w:val="%8."/>
      <w:lvlJc w:val="left"/>
      <w:pPr>
        <w:ind w:left="5760" w:hanging="360"/>
      </w:pPr>
    </w:lvl>
    <w:lvl w:ilvl="8" w:tplc="11382610" w:tentative="1">
      <w:start w:val="1"/>
      <w:numFmt w:val="lowerRoman"/>
      <w:lvlText w:val="%9."/>
      <w:lvlJc w:val="right"/>
      <w:pPr>
        <w:ind w:left="6480" w:hanging="180"/>
      </w:pPr>
    </w:lvl>
  </w:abstractNum>
  <w:abstractNum w:abstractNumId="7386">
    <w:multiLevelType w:val="hybridMultilevel"/>
    <w:lvl w:ilvl="0" w:tplc="41819516">
      <w:start w:val="1"/>
      <w:numFmt w:val="decimal"/>
      <w:lvlText w:val="%1."/>
      <w:lvlJc w:val="left"/>
      <w:pPr>
        <w:ind w:left="720" w:hanging="360"/>
      </w:pPr>
    </w:lvl>
    <w:lvl w:ilvl="1" w:tplc="41819516" w:tentative="1">
      <w:start w:val="1"/>
      <w:numFmt w:val="lowerLetter"/>
      <w:lvlText w:val="%2."/>
      <w:lvlJc w:val="left"/>
      <w:pPr>
        <w:ind w:left="1440" w:hanging="360"/>
      </w:pPr>
    </w:lvl>
    <w:lvl w:ilvl="2" w:tplc="41819516" w:tentative="1">
      <w:start w:val="1"/>
      <w:numFmt w:val="lowerRoman"/>
      <w:lvlText w:val="%3."/>
      <w:lvlJc w:val="right"/>
      <w:pPr>
        <w:ind w:left="2160" w:hanging="180"/>
      </w:pPr>
    </w:lvl>
    <w:lvl w:ilvl="3" w:tplc="41819516" w:tentative="1">
      <w:start w:val="1"/>
      <w:numFmt w:val="decimal"/>
      <w:lvlText w:val="%4."/>
      <w:lvlJc w:val="left"/>
      <w:pPr>
        <w:ind w:left="2880" w:hanging="360"/>
      </w:pPr>
    </w:lvl>
    <w:lvl w:ilvl="4" w:tplc="41819516" w:tentative="1">
      <w:start w:val="1"/>
      <w:numFmt w:val="lowerLetter"/>
      <w:lvlText w:val="%5."/>
      <w:lvlJc w:val="left"/>
      <w:pPr>
        <w:ind w:left="3600" w:hanging="360"/>
      </w:pPr>
    </w:lvl>
    <w:lvl w:ilvl="5" w:tplc="41819516" w:tentative="1">
      <w:start w:val="1"/>
      <w:numFmt w:val="lowerRoman"/>
      <w:lvlText w:val="%6."/>
      <w:lvlJc w:val="right"/>
      <w:pPr>
        <w:ind w:left="4320" w:hanging="180"/>
      </w:pPr>
    </w:lvl>
    <w:lvl w:ilvl="6" w:tplc="41819516" w:tentative="1">
      <w:start w:val="1"/>
      <w:numFmt w:val="decimal"/>
      <w:lvlText w:val="%7."/>
      <w:lvlJc w:val="left"/>
      <w:pPr>
        <w:ind w:left="5040" w:hanging="360"/>
      </w:pPr>
    </w:lvl>
    <w:lvl w:ilvl="7" w:tplc="41819516" w:tentative="1">
      <w:start w:val="1"/>
      <w:numFmt w:val="lowerLetter"/>
      <w:lvlText w:val="%8."/>
      <w:lvlJc w:val="left"/>
      <w:pPr>
        <w:ind w:left="5760" w:hanging="360"/>
      </w:pPr>
    </w:lvl>
    <w:lvl w:ilvl="8" w:tplc="41819516" w:tentative="1">
      <w:start w:val="1"/>
      <w:numFmt w:val="lowerRoman"/>
      <w:lvlText w:val="%9."/>
      <w:lvlJc w:val="right"/>
      <w:pPr>
        <w:ind w:left="6480" w:hanging="180"/>
      </w:pPr>
    </w:lvl>
  </w:abstractNum>
  <w:abstractNum w:abstractNumId="7385">
    <w:multiLevelType w:val="hybridMultilevel"/>
    <w:lvl w:ilvl="0" w:tplc="91117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7385">
    <w:abstractNumId w:val="7385"/>
  </w:num>
  <w:num w:numId="7386">
    <w:abstractNumId w:val="7386"/>
  </w:num>
  <w:num w:numId="7387">
    <w:abstractNumId w:val="7387"/>
  </w:num>
  <w:num w:numId="7388">
    <w:abstractNumId w:val="73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09116250" Type="http://schemas.openxmlformats.org/officeDocument/2006/relationships/comments" Target="comments.xml"/><Relationship Id="rId553134182" Type="http://schemas.microsoft.com/office/2011/relationships/commentsExtended" Target="commentsExtended.xml"/><Relationship Id="rId62277558" Type="http://schemas.openxmlformats.org/officeDocument/2006/relationships/image" Target="media/imgrId62277558.jpg"/><Relationship Id="rId764265e1ae616fa4c" Type="http://schemas.openxmlformats.org/officeDocument/2006/relationships/hyperlink" Target="https://iservice.lombardini.it/jsp/Template2/manuale.jsp?id=203&amp;parent=1000" TargetMode="External"/><Relationship Id="rId975165e1ae615f343" Type="http://schemas.openxmlformats.org/officeDocument/2006/relationships/image" Target="media/imgrId975165e1ae615f343.png"/><Relationship Id="rId487965e1ae6168aad" Type="http://schemas.openxmlformats.org/officeDocument/2006/relationships/image" Target="media/imgrId487965e1ae6168aad.jpg"/><Relationship Id="rId506465e1ae616e6e6" Type="http://schemas.openxmlformats.org/officeDocument/2006/relationships/image" Target="media/imgrId506465e1ae616e6e6.jpg"/><Relationship Id="rId534465e1ae61828ba" Type="http://schemas.openxmlformats.org/officeDocument/2006/relationships/image" Target="media/imgrId534465e1ae61828ba.png"/><Relationship Id="rId543965e1ae618ac0a" Type="http://schemas.openxmlformats.org/officeDocument/2006/relationships/image" Target="media/imgrId543965e1ae618ac0a.png"/><Relationship Id="rId694265e1ae61a161e" Type="http://schemas.openxmlformats.org/officeDocument/2006/relationships/image" Target="media/imgrId694265e1ae61a161e.png"/><Relationship Id="rId641065e1ae61b68ac" Type="http://schemas.openxmlformats.org/officeDocument/2006/relationships/image" Target="media/imgrId641065e1ae61b68ac.png"/><Relationship Id="rId972265e1ae61d3590" Type="http://schemas.openxmlformats.org/officeDocument/2006/relationships/image" Target="media/imgrId972265e1ae61d3590.jp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2277558" Type="http://schemas.openxmlformats.org/officeDocument/2006/relationships/image" Target="media/imgrId6227755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2277558" Type="http://schemas.openxmlformats.org/officeDocument/2006/relationships/image" Target="media/imgrId6227755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2277558" Type="http://schemas.openxmlformats.org/officeDocument/2006/relationships/image" Target="media/imgrId6227755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2277558" Type="http://schemas.openxmlformats.org/officeDocument/2006/relationships/image" Target="media/imgrId6227755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2277558" Type="http://schemas.openxmlformats.org/officeDocument/2006/relationships/image" Target="media/imgrId6227755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2277558" Type="http://schemas.openxmlformats.org/officeDocument/2006/relationships/image" Target="media/imgrId6227755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